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，知悉申请饶平县法律援助中心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值班律师的要求，且本人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近三年内未受到过行政处罚和行业纪律处分。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特此承诺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19B"/>
    <w:rsid w:val="096D119B"/>
    <w:rsid w:val="21033778"/>
    <w:rsid w:val="21310D45"/>
    <w:rsid w:val="47C90A41"/>
    <w:rsid w:val="5F86573C"/>
    <w:rsid w:val="6CBA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2019-08-26T07:21:00Z</dcterms:created>
  <dc:creator>张坤</dc:creator>
  <cp:lastModifiedBy>孙小馥</cp:lastModifiedBy>
  <dcterms:modified xsi:type="dcterms:W3CDTF">2025-06-03T02:20:24Z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9D045830DC9940ED90DC6C21C7CDC8CE</vt:lpwstr>
  </property>
</Properties>
</file>