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2025年饶平县退役军人事务局“三公”经费预算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2025年本部门财政拨款安排“三公”经费2.5万元，比上年增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加0.5万元，增长25%，主要原因是上一年度公务接待费用没有列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入年初预算。其中：因公出国（境）费0万元，比上年增加0万元，增长0%，主要原因是与上年持平，无增减变化；公务用车购置及运行维护费2万元（公务用车购置费0万元，比上年增加0万元；公务用车运行维护费2万元，比上年增加0万元。）比上年增加0万元，增长0%，主要原因是与上年持平，无增减变化；公务接待费0.5万元，比上年增加0.5万元，增长--（基数为0，不可比），主要原因是上一年度公务接待费用没有列入年初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2" w:firstLineChars="200"/>
        <w:jc w:val="center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一般公共预算财政拨款</w:t>
      </w:r>
      <w:r>
        <w:rPr>
          <w:rFonts w:hint="eastAsia" w:ascii="仿宋" w:hAnsi="仿宋" w:eastAsia="仿宋"/>
          <w:b/>
          <w:bCs/>
          <w:sz w:val="30"/>
          <w:szCs w:val="30"/>
        </w:rPr>
        <w:t>“三公”经费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支出</w:t>
      </w:r>
      <w:r>
        <w:rPr>
          <w:rFonts w:hint="eastAsia" w:ascii="仿宋" w:hAnsi="仿宋" w:eastAsia="仿宋"/>
          <w:b/>
          <w:bCs/>
          <w:sz w:val="30"/>
          <w:szCs w:val="30"/>
        </w:rPr>
        <w:t>预算表</w:t>
      </w:r>
    </w:p>
    <w:tbl>
      <w:tblPr>
        <w:tblStyle w:val="2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2279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目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47837"/>
    <w:rsid w:val="0A1632FE"/>
    <w:rsid w:val="1D157CCA"/>
    <w:rsid w:val="251F596D"/>
    <w:rsid w:val="6C520670"/>
    <w:rsid w:val="73C006D6"/>
    <w:rsid w:val="78136D71"/>
    <w:rsid w:val="792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2024-04-16T02:32:00Z</dcterms:created>
  <dc:creator>0365</dc:creator>
  <cp:lastModifiedBy>Administrator</cp:lastModifiedBy>
  <cp:lastPrinted>2024-04-16T03:22:00Z</cp:lastPrinted>
  <dcterms:modified xsi:type="dcterms:W3CDTF">2025-04-28T08:54:41Z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