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pacing w:val="0"/>
          <w:sz w:val="44"/>
          <w:szCs w:val="44"/>
          <w:lang w:val="en-US" w:eastAsia="zh-CN"/>
        </w:rPr>
      </w:pPr>
      <w:r>
        <w:rPr>
          <w:rFonts w:hint="eastAsia" w:ascii="方正小标宋简体" w:hAnsi="方正小标宋简体" w:eastAsia="方正小标宋简体" w:cs="方正小标宋简体"/>
          <w:color w:val="auto"/>
          <w:spacing w:val="0"/>
          <w:sz w:val="44"/>
          <w:szCs w:val="44"/>
          <w:lang w:val="en-US" w:eastAsia="zh-CN"/>
        </w:rPr>
        <w:t>饶平县人民政府办公室2022年法治政府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pacing w:val="-6"/>
          <w:sz w:val="44"/>
          <w:szCs w:val="44"/>
          <w:lang w:val="en-US" w:eastAsia="zh-CN"/>
        </w:rPr>
      </w:pPr>
      <w:r>
        <w:rPr>
          <w:rFonts w:hint="eastAsia" w:ascii="方正小标宋简体" w:hAnsi="方正小标宋简体" w:eastAsia="方正小标宋简体" w:cs="方正小标宋简体"/>
          <w:color w:val="auto"/>
          <w:spacing w:val="0"/>
          <w:sz w:val="44"/>
          <w:szCs w:val="44"/>
          <w:lang w:val="en-US" w:eastAsia="zh-CN"/>
        </w:rPr>
        <w:t>建设年度报告</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textAlignment w:val="auto"/>
        <w:rPr>
          <w:rFonts w:hint="eastAsia" w:ascii="仿宋_GB2312" w:hAnsi="仿宋_GB2312" w:eastAsia="仿宋_GB2312" w:cs="仿宋_GB2312"/>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2022年，在县委、县政府的坚强领导下，县</w:t>
      </w:r>
      <w:r>
        <w:rPr>
          <w:rFonts w:hint="eastAsia" w:ascii="仿宋_GB2312" w:hAnsi="仿宋_GB2312" w:eastAsia="仿宋_GB2312" w:cs="仿宋_GB2312"/>
          <w:color w:val="auto"/>
          <w:sz w:val="32"/>
          <w:szCs w:val="32"/>
          <w:highlight w:val="none"/>
        </w:rPr>
        <w:t>政府办公室坚持以</w:t>
      </w:r>
      <w:r>
        <w:rPr>
          <w:rFonts w:hint="eastAsia" w:ascii="仿宋_GB2312" w:hAnsi="仿宋_GB2312" w:eastAsia="仿宋_GB2312" w:cs="仿宋_GB2312"/>
          <w:color w:val="auto"/>
          <w:sz w:val="32"/>
          <w:szCs w:val="32"/>
          <w:highlight w:val="none"/>
          <w:lang w:val="en-US" w:eastAsia="zh-CN"/>
        </w:rPr>
        <w:t>习近平法治思想为指导，全面贯彻落实</w:t>
      </w:r>
      <w:r>
        <w:rPr>
          <w:rFonts w:hint="eastAsia" w:ascii="仿宋_GB2312" w:hAnsi="仿宋_GB2312" w:eastAsia="仿宋_GB2312" w:cs="仿宋_GB2312"/>
          <w:color w:val="auto"/>
          <w:sz w:val="32"/>
          <w:szCs w:val="32"/>
          <w:highlight w:val="none"/>
        </w:rPr>
        <w:t>习近平新时代中国特色社会主义思想</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rPr>
        <w:t>党的</w:t>
      </w:r>
      <w:r>
        <w:rPr>
          <w:rFonts w:hint="eastAsia" w:ascii="仿宋_GB2312" w:hAnsi="仿宋_GB2312" w:eastAsia="仿宋_GB2312" w:cs="仿宋_GB2312"/>
          <w:color w:val="auto"/>
          <w:sz w:val="32"/>
          <w:szCs w:val="32"/>
          <w:highlight w:val="none"/>
          <w:lang w:val="en-US" w:eastAsia="zh-CN"/>
        </w:rPr>
        <w:t>二十</w:t>
      </w:r>
      <w:r>
        <w:rPr>
          <w:rFonts w:hint="eastAsia" w:ascii="仿宋_GB2312" w:hAnsi="仿宋_GB2312" w:eastAsia="仿宋_GB2312" w:cs="仿宋_GB2312"/>
          <w:color w:val="auto"/>
          <w:sz w:val="32"/>
          <w:szCs w:val="32"/>
          <w:highlight w:val="none"/>
        </w:rPr>
        <w:t>大精神</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深入</w:t>
      </w:r>
      <w:r>
        <w:rPr>
          <w:rFonts w:hint="eastAsia" w:ascii="仿宋_GB2312" w:hAnsi="仿宋_GB2312" w:eastAsia="仿宋_GB2312" w:cs="仿宋_GB2312"/>
          <w:color w:val="auto"/>
          <w:sz w:val="32"/>
          <w:szCs w:val="32"/>
          <w:highlight w:val="none"/>
        </w:rPr>
        <w:t>学习</w:t>
      </w:r>
      <w:r>
        <w:rPr>
          <w:rFonts w:hint="eastAsia" w:ascii="仿宋_GB2312" w:hAnsi="仿宋_GB2312" w:eastAsia="仿宋_GB2312" w:cs="仿宋_GB2312"/>
          <w:color w:val="auto"/>
          <w:sz w:val="32"/>
          <w:szCs w:val="32"/>
          <w:highlight w:val="none"/>
          <w:lang w:val="en-US" w:eastAsia="zh-CN"/>
        </w:rPr>
        <w:t>贯彻中央全面依法治国工作会议精神</w:t>
      </w:r>
      <w:r>
        <w:rPr>
          <w:rFonts w:hint="eastAsia" w:ascii="仿宋_GB2312" w:hAnsi="仿宋_GB2312" w:eastAsia="仿宋_GB2312" w:cs="仿宋_GB2312"/>
          <w:color w:val="auto"/>
          <w:sz w:val="32"/>
          <w:szCs w:val="32"/>
          <w:highlight w:val="none"/>
        </w:rPr>
        <w:t>和习近平总书记视察广东重要讲话重要指示精神，紧紧围绕省、市关于加强法治政府建设要求及</w:t>
      </w:r>
      <w:r>
        <w:rPr>
          <w:rFonts w:hint="eastAsia" w:ascii="仿宋_GB2312" w:hAnsi="仿宋_GB2312" w:eastAsia="仿宋_GB2312" w:cs="仿宋_GB2312"/>
          <w:color w:val="auto"/>
          <w:sz w:val="32"/>
          <w:szCs w:val="32"/>
          <w:highlight w:val="none"/>
          <w:lang w:val="en-US" w:eastAsia="zh-CN"/>
        </w:rPr>
        <w:t>《饶平县2022年依法治县工作要点》《饶平县2022年法治政府建设工作要点》</w:t>
      </w:r>
      <w:r>
        <w:rPr>
          <w:rFonts w:hint="eastAsia" w:ascii="仿宋_GB2312" w:hAnsi="仿宋_GB2312" w:eastAsia="仿宋_GB2312" w:cs="仿宋_GB2312"/>
          <w:color w:val="auto"/>
          <w:sz w:val="32"/>
          <w:szCs w:val="32"/>
          <w:highlight w:val="none"/>
          <w:lang w:eastAsia="zh-CN"/>
        </w:rPr>
        <w:t>等文件要求</w:t>
      </w:r>
      <w:r>
        <w:rPr>
          <w:rFonts w:hint="eastAsia" w:ascii="仿宋_GB2312" w:hAnsi="仿宋_GB2312" w:eastAsia="仿宋_GB2312" w:cs="仿宋_GB2312"/>
          <w:color w:val="auto"/>
          <w:sz w:val="32"/>
          <w:szCs w:val="32"/>
          <w:highlight w:val="none"/>
        </w:rPr>
        <w:t>，围绕全县中心工作，深入推进法治政府建设，为持续优化营商环境、助推全</w:t>
      </w:r>
      <w:r>
        <w:rPr>
          <w:rFonts w:hint="eastAsia" w:ascii="仿宋_GB2312" w:hAnsi="仿宋_GB2312" w:eastAsia="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rPr>
        <w:t>经济社会高质量</w:t>
      </w:r>
      <w:r>
        <w:rPr>
          <w:rFonts w:hint="eastAsia" w:ascii="仿宋_GB2312" w:hAnsi="仿宋_GB2312" w:eastAsia="仿宋_GB2312" w:cs="仿宋_GB2312"/>
          <w:color w:val="auto"/>
          <w:sz w:val="32"/>
          <w:szCs w:val="32"/>
          <w:highlight w:val="none"/>
          <w:lang w:val="en-US" w:eastAsia="zh-CN"/>
        </w:rPr>
        <w:t>加快</w:t>
      </w:r>
      <w:r>
        <w:rPr>
          <w:rFonts w:hint="eastAsia" w:ascii="仿宋_GB2312" w:hAnsi="仿宋_GB2312" w:eastAsia="仿宋_GB2312" w:cs="仿宋_GB2312"/>
          <w:color w:val="auto"/>
          <w:sz w:val="32"/>
          <w:szCs w:val="32"/>
          <w:highlight w:val="none"/>
        </w:rPr>
        <w:t>发展提供了有力的法治保障。现将</w:t>
      </w:r>
      <w:r>
        <w:rPr>
          <w:rFonts w:hint="eastAsia" w:ascii="仿宋_GB2312" w:hAnsi="仿宋_GB2312" w:eastAsia="仿宋_GB2312" w:cs="仿宋_GB2312"/>
          <w:color w:val="auto"/>
          <w:sz w:val="32"/>
          <w:szCs w:val="32"/>
          <w:highlight w:val="none"/>
          <w:lang w:val="en-US" w:eastAsia="zh-CN"/>
        </w:rPr>
        <w:t>有关情况</w:t>
      </w:r>
      <w:r>
        <w:rPr>
          <w:rFonts w:hint="eastAsia" w:ascii="仿宋_GB2312" w:hAnsi="仿宋_GB2312" w:eastAsia="仿宋_GB2312" w:cs="仿宋_GB2312"/>
          <w:color w:val="auto"/>
          <w:sz w:val="32"/>
          <w:szCs w:val="32"/>
          <w:highlight w:val="none"/>
        </w:rPr>
        <w:t>报告如下</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一、主要举措和成效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（一）认真贯彻落实习近平法治思想，</w:t>
      </w:r>
      <w:r>
        <w:rPr>
          <w:rFonts w:hint="eastAsia" w:ascii="楷体_GB2312" w:hAnsi="楷体_GB2312" w:eastAsia="楷体_GB2312" w:cs="楷体_GB2312"/>
          <w:color w:val="auto"/>
          <w:sz w:val="32"/>
          <w:szCs w:val="32"/>
          <w:highlight w:val="none"/>
          <w:lang w:val="en-US" w:eastAsia="zh-CN"/>
        </w:rPr>
        <w:t>进一步</w:t>
      </w:r>
      <w:r>
        <w:rPr>
          <w:rFonts w:hint="eastAsia" w:ascii="楷体_GB2312" w:hAnsi="楷体_GB2312" w:eastAsia="楷体_GB2312" w:cs="楷体_GB2312"/>
          <w:color w:val="auto"/>
          <w:sz w:val="32"/>
          <w:szCs w:val="32"/>
          <w:highlight w:val="none"/>
          <w:lang w:eastAsia="zh-CN"/>
        </w:rPr>
        <w:t>提升法治水平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b/>
          <w:bCs/>
          <w:color w:val="auto"/>
          <w:sz w:val="32"/>
          <w:szCs w:val="32"/>
          <w:highlight w:val="none"/>
          <w:lang w:eastAsia="zh-CN"/>
        </w:rPr>
        <w:t>深刻领悟新时代推进法治建设战略部署的重大意义。</w:t>
      </w:r>
      <w:r>
        <w:rPr>
          <w:rFonts w:hint="eastAsia" w:ascii="仿宋_GB2312" w:hAnsi="仿宋_GB2312" w:eastAsia="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lang w:eastAsia="zh-CN"/>
        </w:rPr>
        <w:t>政府办公室坚持把学习宣传贯彻党的二十大精神作为当前和今后一个时期的首要政治任务，第一时间召开党组会议、理论中心组学习会和机关全体干部会议传达学习，深刻领悟“两个确立”</w:t>
      </w:r>
      <w:bookmarkStart w:id="0" w:name="_GoBack"/>
      <w:bookmarkEnd w:id="0"/>
      <w:r>
        <w:rPr>
          <w:rFonts w:hint="eastAsia" w:ascii="仿宋_GB2312" w:hAnsi="仿宋_GB2312" w:eastAsia="仿宋_GB2312" w:cs="仿宋_GB2312"/>
          <w:color w:val="auto"/>
          <w:sz w:val="32"/>
          <w:szCs w:val="32"/>
          <w:highlight w:val="none"/>
          <w:lang w:eastAsia="zh-CN"/>
        </w:rPr>
        <w:t>的决定性意义，增强“四个意识”、坚定“四个自信”、做到“两个维护”。</w:t>
      </w:r>
      <w:r>
        <w:rPr>
          <w:rFonts w:hint="eastAsia" w:ascii="仿宋_GB2312" w:hAnsi="仿宋_GB2312" w:eastAsia="仿宋_GB2312" w:cs="仿宋_GB2312"/>
          <w:color w:val="auto"/>
          <w:sz w:val="32"/>
          <w:szCs w:val="32"/>
          <w:highlight w:val="none"/>
          <w:lang w:val="en-US" w:eastAsia="zh-CN"/>
        </w:rPr>
        <w:t>在学习党的二十大报告中，</w:t>
      </w:r>
      <w:r>
        <w:rPr>
          <w:rFonts w:hint="eastAsia" w:ascii="仿宋_GB2312" w:hAnsi="仿宋_GB2312" w:eastAsia="仿宋_GB2312" w:cs="仿宋_GB2312"/>
          <w:color w:val="auto"/>
          <w:sz w:val="32"/>
          <w:szCs w:val="32"/>
          <w:highlight w:val="none"/>
          <w:lang w:eastAsia="zh-CN"/>
        </w:rPr>
        <w:t>更加深刻认识和把握法治建设的重大意义、精神实质和实践要求。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二是坚决落实好党政主要负责人全面履行推进法治建设第一责任人职责。</w:t>
      </w:r>
      <w:r>
        <w:rPr>
          <w:rFonts w:hint="eastAsia" w:ascii="仿宋_GB2312" w:hAnsi="仿宋_GB2312" w:eastAsia="仿宋_GB2312" w:cs="仿宋_GB2312"/>
          <w:color w:val="auto"/>
          <w:sz w:val="32"/>
          <w:szCs w:val="32"/>
          <w:highlight w:val="none"/>
          <w:lang w:val="en-US" w:eastAsia="zh-CN"/>
        </w:rPr>
        <w:t>县政府办党组书记认真履行推进法治建设第一责任人</w:t>
      </w:r>
      <w:r>
        <w:rPr>
          <w:rFonts w:hint="eastAsia" w:ascii="仿宋_GB2312" w:hAnsi="仿宋_GB2312" w:eastAsia="仿宋_GB2312" w:cs="仿宋_GB2312"/>
          <w:color w:val="auto"/>
          <w:sz w:val="32"/>
          <w:szCs w:val="32"/>
          <w:highlight w:val="none"/>
          <w:lang w:val="en-US" w:eastAsia="zh-CN"/>
        </w:rPr>
        <w:t>职责，带领领导班子成员深入学习贯彻习近平法治思想，全面学习习近平总书记关于法治建设的重要论述，不断提高运用法治思维和法治方式深化改革、推动发展的能力。党组书记带头督促班子成员认真学法、自觉守法，以法治化思维推动政府督查、政务公开等工作，不断提高依法决策、依法行政、依法管理的能力和水平。全面落实法治政府建设各项工作要求，结合实际制定年度法治工作计划，将法治政府建设工作与办公室业务工作同部署、同推进、同调度，切实将法治政府建设工作的各项要求体现到业务工作，确保各项工作始终在法治化轨道上推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三是深入学习领会习近平法治思想。</w:t>
      </w:r>
      <w:r>
        <w:rPr>
          <w:rFonts w:hint="eastAsia" w:ascii="仿宋_GB2312" w:hAnsi="仿宋_GB2312" w:eastAsia="仿宋_GB2312" w:cs="仿宋_GB2312"/>
          <w:color w:val="auto"/>
          <w:sz w:val="32"/>
          <w:szCs w:val="32"/>
          <w:highlight w:val="none"/>
          <w:lang w:val="en-US" w:eastAsia="zh-CN"/>
        </w:rPr>
        <w:t>县政府办公室党组将学习习近平法治思想列入年度专题学习计划，推动习近平法治思想贯彻落实到办公室工作的全过程各方面。今年来，召开办公室党组会议、理论中心组学习会、机关集体学习会</w:t>
      </w:r>
      <w:r>
        <w:rPr>
          <w:rFonts w:hint="eastAsia" w:ascii="仿宋_GB2312" w:hAnsi="仿宋_GB2312" w:eastAsia="仿宋_GB2312" w:cs="仿宋_GB2312"/>
          <w:color w:val="auto"/>
          <w:sz w:val="32"/>
          <w:szCs w:val="32"/>
          <w:highlight w:val="none"/>
          <w:lang w:val="en-US" w:eastAsia="zh-CN"/>
        </w:rPr>
        <w:t>等224（场）次，专题学习习近平法治思想、习近平总书记重要讲话和重要指示批示精神等。通过学习，不断提升领导干部法治思维能力，为推进法治政府建设提供坚强有力的法治保障。同时，协助县政府制定学法计划，组织常务会议学法20场次，确保法治建设相关工作顺利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（二）严格依法行政，全力推动法治政府建设决策部署落实落地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一是助推重大决策规范化。</w:t>
      </w:r>
      <w:r>
        <w:rPr>
          <w:rFonts w:hint="eastAsia" w:ascii="仿宋_GB2312" w:hAnsi="仿宋_GB2312" w:eastAsia="仿宋_GB2312" w:cs="仿宋_GB2312"/>
          <w:color w:val="auto"/>
          <w:sz w:val="32"/>
          <w:szCs w:val="32"/>
          <w:highlight w:val="none"/>
          <w:lang w:val="en-US" w:eastAsia="zh-CN"/>
        </w:rPr>
        <w:t>严格贯彻落实法治政府建设各项要求，坚持完善科学民主依法决策机制，做到全县政府重大决策出台前向县人大常委会报告和向同级党委请示报告，充分发挥法律顾问在法治政府建设中的作用，确保决策程序正当合法。对规范性文件进行全面梳理，进一步完善规范性文件的起草、审核等程序，从严把关以县政府或县政府办公室名义印发的规范性文件，确保我办制发的规范性文件符合法定权限和程序、无违法内容，所有规范性文件纳入备案审查范围，做到有件必备、有错必纠。今年来，共印发规范性文件1个，以县政府或县政府办公室名义印发的文件</w:t>
      </w:r>
      <w:r>
        <w:rPr>
          <w:rFonts w:hint="eastAsia" w:ascii="仿宋_GB2312" w:hAnsi="仿宋_GB2312" w:eastAsia="仿宋_GB2312" w:cs="仿宋_GB2312"/>
          <w:color w:val="auto"/>
          <w:sz w:val="32"/>
          <w:szCs w:val="32"/>
          <w:highlight w:val="none"/>
          <w:lang w:val="en-US" w:eastAsia="zh-CN"/>
        </w:rPr>
        <w:t>332个。编制重大行政决策事项目录并通过新媒体及时向社会公布，拓宽重大行政决策公众参与渠道，通过政府网站、微信公众号、电视台等新媒体向社会公布决策信息，广泛听取意见，并及时反馈意见采纳情况和理由，推进决策科学化、民主化。今年来，全县2022年度重大行政决策事项共有6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二是深化相关改革工作。</w:t>
      </w:r>
      <w:r>
        <w:rPr>
          <w:rFonts w:hint="eastAsia" w:ascii="仿宋_GB2312" w:hAnsi="仿宋_GB2312" w:eastAsia="仿宋_GB2312" w:cs="仿宋_GB2312"/>
          <w:color w:val="auto"/>
          <w:sz w:val="32"/>
          <w:szCs w:val="32"/>
          <w:highlight w:val="none"/>
          <w:lang w:val="en-US" w:eastAsia="zh-CN"/>
        </w:rPr>
        <w:t>大力开展政务领域和政务服务事项公开的清单化、标准化、制度化建设，完成基层政务公开事项标准目录编制，涵盖了重大建设项目等26个试点领域，基层政务公开事项9736项，政府公信力不断提升。</w:t>
      </w:r>
      <w:r>
        <w:rPr>
          <w:rFonts w:hint="eastAsia" w:ascii="仿宋_GB2312" w:hAnsi="仿宋_GB2312" w:eastAsia="仿宋_GB2312" w:cs="仿宋_GB2312"/>
          <w:color w:val="auto"/>
          <w:sz w:val="32"/>
          <w:szCs w:val="32"/>
          <w:highlight w:val="none"/>
          <w:lang w:val="en-US" w:eastAsia="zh-CN"/>
        </w:rPr>
        <w:t>稳步推进政务服务改革，协助县政数局推进“放管服”改革，行政许可事项时限压缩率达到95.17%，群众办事更加方便。服务好县政府制订出台了扎实稳住经济的一揽子政策措施148项，加快发挥更大政策效应，全力稳住经济、助企纾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三是服务经济社会发展。</w:t>
      </w:r>
      <w:r>
        <w:rPr>
          <w:rFonts w:hint="eastAsia" w:ascii="仿宋_GB2312" w:hAnsi="仿宋_GB2312" w:eastAsia="仿宋_GB2312" w:cs="仿宋_GB2312"/>
          <w:color w:val="auto"/>
          <w:sz w:val="32"/>
          <w:szCs w:val="32"/>
          <w:highlight w:val="none"/>
          <w:lang w:val="en-US" w:eastAsia="zh-CN"/>
        </w:rPr>
        <w:t>紧紧围绕发展大局和中心工作以及经济社会发展的难点、群众反映的热点问题，定期或不定期到各镇、园区、部门和企业等进行实地调研，捕捉研判各类具有借鉴意义的信息，拓宽信息辅政渠道，充分发挥参谋助手作用，为县政府领导提供更及时、更有针对性的信息服务。今年来，我办累计上报市政府办政务信息14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（三）深化工作落实，不断增强全县干部群众法治意识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一是持续推动政务公开常态化。</w:t>
      </w:r>
      <w:r>
        <w:rPr>
          <w:rFonts w:hint="eastAsia" w:ascii="仿宋_GB2312" w:hAnsi="仿宋_GB2312" w:eastAsia="仿宋_GB2312" w:cs="仿宋_GB2312"/>
          <w:color w:val="auto"/>
          <w:sz w:val="32"/>
          <w:szCs w:val="32"/>
          <w:highlight w:val="none"/>
          <w:lang w:val="en-US" w:eastAsia="zh-CN"/>
        </w:rPr>
        <w:t>加强政府网站、微信公众号内容建设管理，积极发挥政府网站、微信公众号窗口作用，进一步优化门户网站政务公开栏的栏目设置，提高信息检索便捷度，确保法定主动公开内容全部公开到位。认真做好“饶平政府发布”微信公众号、县政府网站等政务公开工作，打通政务沟通“最后一公里”。今年来，“饶平政府发布”公众号共发布信息1896条，总阅读量达到487.6万人次，粉丝量积累达8.4万人；饶平政府网站总访问量927.7万人次，信息发布3613条，2022年第二季度、第三季度位居全市政府网站与政务新媒体考核第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二是主动回应群众关切。</w:t>
      </w:r>
      <w:r>
        <w:rPr>
          <w:rFonts w:hint="eastAsia" w:ascii="仿宋_GB2312" w:hAnsi="仿宋_GB2312" w:eastAsia="仿宋_GB2312" w:cs="仿宋_GB2312"/>
          <w:color w:val="auto"/>
          <w:sz w:val="32"/>
          <w:szCs w:val="32"/>
          <w:highlight w:val="none"/>
          <w:lang w:val="en-US" w:eastAsia="zh-CN"/>
        </w:rPr>
        <w:t>聚焦打好打赢“三大战役”，在“饶平政府发布”微信公众号设置【聚焦三大战役•网友献策互动】专栏，定期对网友建言献策内容办理情况及回访网友情况进行宣传报道，助力打造阳光、透明的法治政府。4月23日开栏以来，累计发布专栏报道26期，阅读量30631人次，该项工作成效获得县委主要领导批示表扬，获评全县2022年上半年工作“红榜”。建立统一的互动交流平台，进行政策解读，积极回应民意诉求，及时协调、解决网络上反映的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三是自觉接受人大政协监督。</w:t>
      </w:r>
      <w:r>
        <w:rPr>
          <w:rFonts w:hint="eastAsia" w:ascii="仿宋_GB2312" w:hAnsi="仿宋_GB2312" w:eastAsia="仿宋_GB2312" w:cs="仿宋_GB2312"/>
          <w:color w:val="auto"/>
          <w:sz w:val="32"/>
          <w:szCs w:val="32"/>
          <w:highlight w:val="none"/>
          <w:lang w:val="en-US" w:eastAsia="zh-CN"/>
        </w:rPr>
        <w:t>做好建议提案办理工作，加强综合协调，进一步规范政府系统承办单位在交办、办理、督办、考核、公开等各环节工作，提高承办单位办理建议的工作质量和科学化水平，推动人大代表建议和政协提案落到实处。2022年，县政府办公室认真组织人大建议和政协提案办理工作68件，建议提案办结率100%，均得到代表、委员的满意反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四是全面开展普法宣传。</w:t>
      </w:r>
      <w:r>
        <w:rPr>
          <w:rFonts w:hint="eastAsia" w:ascii="仿宋_GB2312" w:hAnsi="仿宋_GB2312" w:eastAsia="仿宋_GB2312" w:cs="仿宋_GB2312"/>
          <w:color w:val="auto"/>
          <w:sz w:val="32"/>
          <w:szCs w:val="32"/>
          <w:highlight w:val="none"/>
          <w:lang w:val="en-US" w:eastAsia="zh-CN"/>
        </w:rPr>
        <w:t>认真贯彻执行“八五”普法规划，不断增强坚定不移走中国特色社会主义法治道路的自觉性和坚定性。运用“学习强国”、广东省干部培训网络学院等平台线上学习相关法律法规，组织干部参加“广东省国家工作人员学法考试”、习近平法治思想和法律法规考试，切实增强党员干部</w:t>
      </w:r>
      <w:r>
        <w:rPr>
          <w:rFonts w:hint="eastAsia" w:ascii="仿宋_GB2312" w:hAnsi="仿宋_GB2312" w:eastAsia="仿宋_GB2312" w:cs="仿宋_GB2312"/>
          <w:color w:val="auto"/>
          <w:sz w:val="32"/>
          <w:szCs w:val="32"/>
          <w:highlight w:val="none"/>
          <w:lang w:val="en-US" w:eastAsia="zh-CN"/>
        </w:rPr>
        <w:t>的法治思维和依法办事能力。同时，大力推进法治政府建设宣传工作，通过政府网站、微信公众号、电视等多种媒体形式，广泛宣传法治政府建设目标、工作部署、先进经验、典型做法，正确引导舆论，营造良好氛围，让法治理念更加深入人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二、存在不足及下一步工作打算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一年来，虽然县政府办公室认真落实法治政府建设各项工作，取得了一定的成效，但对照上级的要求和人民群众的期待仍有差距，主要有3方面：</w:t>
      </w: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color w:val="auto"/>
          <w:sz w:val="32"/>
          <w:szCs w:val="32"/>
          <w:highlight w:val="none"/>
          <w:lang w:val="en-US" w:eastAsia="zh-CN"/>
        </w:rPr>
        <w:t>法治宣传教育方面存在薄弱环节，法治宣传教育方式方法较为单一，办公室内部学法氛围还不够浓厚；</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color w:val="auto"/>
          <w:sz w:val="32"/>
          <w:szCs w:val="32"/>
          <w:highlight w:val="none"/>
          <w:lang w:val="en-US" w:eastAsia="zh-CN"/>
        </w:rPr>
        <w:t>法治意识、法治思维与工作结合不够紧密，运用法治思维和法治方式解决问题化解矛盾的能力还需进一步加强；</w:t>
      </w:r>
      <w:r>
        <w:rPr>
          <w:rFonts w:hint="eastAsia" w:ascii="仿宋_GB2312" w:hAnsi="仿宋_GB2312" w:eastAsia="仿宋_GB2312" w:cs="仿宋_GB2312"/>
          <w:b/>
          <w:bCs/>
          <w:color w:val="auto"/>
          <w:sz w:val="32"/>
          <w:szCs w:val="32"/>
          <w:highlight w:val="none"/>
          <w:lang w:val="en-US" w:eastAsia="zh-CN"/>
        </w:rPr>
        <w:t>三是</w:t>
      </w:r>
      <w:r>
        <w:rPr>
          <w:rFonts w:hint="eastAsia" w:ascii="仿宋_GB2312" w:hAnsi="仿宋_GB2312" w:eastAsia="仿宋_GB2312" w:cs="仿宋_GB2312"/>
          <w:color w:val="auto"/>
          <w:sz w:val="32"/>
          <w:szCs w:val="32"/>
          <w:highlight w:val="none"/>
          <w:lang w:val="en-US" w:eastAsia="zh-CN"/>
        </w:rPr>
        <w:t>在创新开展法治政府建设方面下的功夫不够，未能与时俱进，不断开创工作新局面。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新的一年</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县政府</w:t>
      </w:r>
      <w:r>
        <w:rPr>
          <w:rFonts w:hint="eastAsia" w:ascii="仿宋_GB2312" w:hAnsi="仿宋_GB2312" w:eastAsia="仿宋_GB2312" w:cs="仿宋_GB2312"/>
          <w:color w:val="auto"/>
          <w:sz w:val="32"/>
          <w:szCs w:val="32"/>
          <w:highlight w:val="none"/>
        </w:rPr>
        <w:t>办公室将</w:t>
      </w:r>
      <w:r>
        <w:rPr>
          <w:rFonts w:hint="eastAsia" w:ascii="仿宋_GB2312" w:hAnsi="仿宋_GB2312" w:eastAsia="仿宋_GB2312" w:cs="仿宋_GB2312"/>
          <w:color w:val="auto"/>
          <w:sz w:val="32"/>
          <w:szCs w:val="32"/>
          <w:highlight w:val="none"/>
          <w:lang w:val="en-US" w:eastAsia="zh-CN"/>
        </w:rPr>
        <w:t>坚持</w:t>
      </w:r>
      <w:r>
        <w:rPr>
          <w:rFonts w:hint="eastAsia" w:ascii="仿宋_GB2312" w:hAnsi="仿宋_GB2312" w:eastAsia="仿宋_GB2312" w:cs="仿宋_GB2312"/>
          <w:color w:val="auto"/>
          <w:sz w:val="32"/>
          <w:szCs w:val="32"/>
          <w:highlight w:val="none"/>
        </w:rPr>
        <w:t>以习近平</w:t>
      </w:r>
      <w:r>
        <w:rPr>
          <w:rFonts w:hint="eastAsia" w:ascii="仿宋_GB2312" w:hAnsi="仿宋_GB2312" w:eastAsia="仿宋_GB2312" w:cs="仿宋_GB2312"/>
          <w:color w:val="auto"/>
          <w:sz w:val="32"/>
          <w:szCs w:val="32"/>
          <w:highlight w:val="none"/>
          <w:lang w:val="en-US" w:eastAsia="zh-CN"/>
        </w:rPr>
        <w:t>新时代中国特色社会主义思想</w:t>
      </w:r>
      <w:r>
        <w:rPr>
          <w:rFonts w:hint="eastAsia" w:ascii="仿宋_GB2312" w:hAnsi="仿宋_GB2312" w:eastAsia="仿宋_GB2312" w:cs="仿宋_GB2312"/>
          <w:color w:val="auto"/>
          <w:sz w:val="32"/>
          <w:szCs w:val="32"/>
          <w:highlight w:val="none"/>
        </w:rPr>
        <w:t>为指导，</w:t>
      </w:r>
      <w:r>
        <w:rPr>
          <w:rFonts w:hint="eastAsia" w:ascii="仿宋_GB2312" w:hAnsi="仿宋_GB2312" w:eastAsia="仿宋_GB2312" w:cs="仿宋_GB2312"/>
          <w:color w:val="auto"/>
          <w:sz w:val="32"/>
          <w:szCs w:val="32"/>
          <w:highlight w:val="none"/>
          <w:lang w:val="en-US" w:eastAsia="zh-CN"/>
        </w:rPr>
        <w:t>深入学习贯彻党的二十大精神</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把习近平法治思想作为</w:t>
      </w:r>
      <w:r>
        <w:rPr>
          <w:rFonts w:hint="eastAsia" w:ascii="仿宋_GB2312" w:hAnsi="仿宋_GB2312" w:eastAsia="仿宋_GB2312" w:cs="仿宋_GB2312"/>
          <w:color w:val="auto"/>
          <w:sz w:val="32"/>
          <w:szCs w:val="32"/>
          <w:highlight w:val="none"/>
          <w:lang w:val="en-US" w:eastAsia="zh-CN"/>
        </w:rPr>
        <w:t>各项</w:t>
      </w:r>
      <w:r>
        <w:rPr>
          <w:rFonts w:hint="eastAsia" w:ascii="仿宋_GB2312" w:hAnsi="仿宋_GB2312" w:eastAsia="仿宋_GB2312" w:cs="仿宋_GB2312"/>
          <w:color w:val="auto"/>
          <w:sz w:val="32"/>
          <w:szCs w:val="32"/>
          <w:highlight w:val="none"/>
        </w:rPr>
        <w:t>工作</w:t>
      </w:r>
      <w:r>
        <w:rPr>
          <w:rFonts w:hint="eastAsia" w:ascii="仿宋_GB2312" w:hAnsi="仿宋_GB2312" w:eastAsia="仿宋_GB2312" w:cs="仿宋_GB2312"/>
          <w:color w:val="auto"/>
          <w:sz w:val="32"/>
          <w:szCs w:val="32"/>
          <w:highlight w:val="none"/>
          <w:lang w:val="en-US" w:eastAsia="zh-CN"/>
        </w:rPr>
        <w:t>开展</w:t>
      </w:r>
      <w:r>
        <w:rPr>
          <w:rFonts w:hint="eastAsia" w:ascii="仿宋_GB2312" w:hAnsi="仿宋_GB2312" w:eastAsia="仿宋_GB2312" w:cs="仿宋_GB2312"/>
          <w:color w:val="auto"/>
          <w:sz w:val="32"/>
          <w:szCs w:val="32"/>
          <w:highlight w:val="none"/>
        </w:rPr>
        <w:t>的根本遵循和行动指南，提升运用法治思维和法治方式管理经济社会事务的能力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助推法治政府建设</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lang w:val="en-US" w:eastAsia="zh-CN"/>
        </w:rPr>
        <w:t>进一步</w:t>
      </w:r>
      <w:r>
        <w:rPr>
          <w:rFonts w:hint="eastAsia" w:ascii="楷体_GB2312" w:hAnsi="楷体_GB2312" w:eastAsia="楷体_GB2312" w:cs="楷体_GB2312"/>
          <w:color w:val="auto"/>
          <w:sz w:val="32"/>
          <w:szCs w:val="32"/>
          <w:highlight w:val="none"/>
        </w:rPr>
        <w:t>坚持党对法治政府建设的领导。</w:t>
      </w:r>
      <w:r>
        <w:rPr>
          <w:rFonts w:hint="eastAsia" w:ascii="仿宋_GB2312" w:hAnsi="仿宋_GB2312" w:eastAsia="仿宋_GB2312" w:cs="仿宋_GB2312"/>
          <w:color w:val="auto"/>
          <w:sz w:val="32"/>
          <w:szCs w:val="32"/>
          <w:highlight w:val="none"/>
        </w:rPr>
        <w:t>坚持以习近平新时代中国特色社会主义思想为指导，深入学习贯彻党的二十大精神，持续深入学习领会习近平法治思想，</w:t>
      </w:r>
      <w:r>
        <w:rPr>
          <w:rFonts w:hint="eastAsia" w:ascii="仿宋_GB2312" w:hAnsi="仿宋_GB2312" w:eastAsia="仿宋_GB2312" w:cs="仿宋_GB2312"/>
          <w:color w:val="auto"/>
          <w:sz w:val="32"/>
          <w:szCs w:val="32"/>
          <w:highlight w:val="none"/>
        </w:rPr>
        <w:t>制订出台</w:t>
      </w:r>
      <w:r>
        <w:rPr>
          <w:rFonts w:hint="eastAsia" w:ascii="仿宋_GB2312" w:hAnsi="仿宋_GB2312" w:eastAsia="仿宋_GB2312" w:cs="仿宋_GB2312"/>
          <w:color w:val="auto"/>
          <w:sz w:val="32"/>
          <w:szCs w:val="32"/>
          <w:highlight w:val="none"/>
          <w:lang w:val="en-US" w:eastAsia="zh-CN"/>
        </w:rPr>
        <w:t>本单位</w:t>
      </w:r>
      <w:r>
        <w:rPr>
          <w:rFonts w:hint="eastAsia" w:ascii="仿宋_GB2312" w:hAnsi="仿宋_GB2312" w:eastAsia="仿宋_GB2312" w:cs="仿宋_GB2312"/>
          <w:color w:val="auto"/>
          <w:sz w:val="32"/>
          <w:szCs w:val="32"/>
          <w:highlight w:val="none"/>
        </w:rPr>
        <w:t>年度法治政府建设工作要点，细化各单位责任分工，</w:t>
      </w:r>
      <w:r>
        <w:rPr>
          <w:rFonts w:hint="eastAsia" w:ascii="仿宋_GB2312" w:hAnsi="仿宋_GB2312" w:eastAsia="仿宋_GB2312" w:cs="仿宋_GB2312"/>
          <w:color w:val="auto"/>
          <w:sz w:val="32"/>
          <w:szCs w:val="32"/>
          <w:highlight w:val="none"/>
          <w:lang w:val="en-US" w:eastAsia="zh-CN"/>
        </w:rPr>
        <w:t>创新开展重点工作，</w:t>
      </w:r>
      <w:r>
        <w:rPr>
          <w:rFonts w:hint="eastAsia" w:ascii="仿宋_GB2312" w:hAnsi="仿宋_GB2312" w:eastAsia="仿宋_GB2312" w:cs="仿宋_GB2312"/>
          <w:color w:val="auto"/>
          <w:sz w:val="32"/>
          <w:szCs w:val="32"/>
          <w:highlight w:val="none"/>
        </w:rPr>
        <w:t>推进法治政府建设取得新成效。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（二）</w:t>
      </w:r>
      <w:r>
        <w:rPr>
          <w:rFonts w:hint="eastAsia" w:ascii="楷体_GB2312" w:hAnsi="楷体_GB2312" w:eastAsia="楷体_GB2312" w:cs="楷体_GB2312"/>
          <w:color w:val="auto"/>
          <w:sz w:val="32"/>
          <w:szCs w:val="32"/>
          <w:highlight w:val="none"/>
          <w:lang w:val="en-US" w:eastAsia="zh-CN"/>
        </w:rPr>
        <w:t>进一步做到</w:t>
      </w:r>
      <w:r>
        <w:rPr>
          <w:rFonts w:hint="eastAsia" w:ascii="楷体_GB2312" w:hAnsi="楷体_GB2312" w:eastAsia="楷体_GB2312" w:cs="楷体_GB2312"/>
          <w:color w:val="auto"/>
          <w:sz w:val="32"/>
          <w:szCs w:val="32"/>
          <w:highlight w:val="none"/>
        </w:rPr>
        <w:t>依法科学民主决策</w:t>
      </w:r>
      <w:r>
        <w:rPr>
          <w:rFonts w:hint="eastAsia" w:ascii="楷体_GB2312" w:hAnsi="楷体_GB2312" w:eastAsia="楷体_GB2312" w:cs="楷体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全过程遵循法治导向和法治要求</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强化依法决策意识，</w:t>
      </w:r>
      <w:r>
        <w:rPr>
          <w:rFonts w:hint="eastAsia" w:ascii="仿宋_GB2312" w:hAnsi="仿宋_GB2312" w:eastAsia="仿宋_GB2312" w:cs="仿宋_GB2312"/>
          <w:color w:val="auto"/>
          <w:sz w:val="32"/>
          <w:szCs w:val="32"/>
          <w:highlight w:val="none"/>
          <w:lang w:val="en-US" w:eastAsia="zh-CN"/>
        </w:rPr>
        <w:t>协助县政府</w:t>
      </w:r>
      <w:r>
        <w:rPr>
          <w:rFonts w:hint="eastAsia" w:ascii="仿宋_GB2312" w:hAnsi="仿宋_GB2312" w:eastAsia="仿宋_GB2312" w:cs="仿宋_GB2312"/>
          <w:color w:val="auto"/>
          <w:sz w:val="32"/>
          <w:szCs w:val="32"/>
          <w:highlight w:val="none"/>
        </w:rPr>
        <w:t>严格落实公众参与、专家论证、风险评估、合法性审查和集体讨论决定的程序进行决策，不断提升行政决策公信力和执行力。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三</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进一步提高服务效能。</w:t>
      </w:r>
      <w:r>
        <w:rPr>
          <w:rFonts w:hint="eastAsia" w:ascii="仿宋_GB2312" w:hAnsi="仿宋_GB2312" w:eastAsia="仿宋_GB2312" w:cs="仿宋_GB2312"/>
          <w:color w:val="auto"/>
          <w:sz w:val="32"/>
          <w:szCs w:val="32"/>
          <w:highlight w:val="none"/>
          <w:lang w:val="en-US" w:eastAsia="zh-CN"/>
        </w:rPr>
        <w:t>围绕法治政府建设的需要</w:t>
      </w:r>
      <w:r>
        <w:rPr>
          <w:rFonts w:hint="eastAsia" w:ascii="仿宋_GB2312" w:hAnsi="仿宋_GB2312" w:eastAsia="仿宋_GB2312" w:cs="仿宋_GB2312"/>
          <w:color w:val="auto"/>
          <w:sz w:val="32"/>
          <w:szCs w:val="32"/>
          <w:highlight w:val="none"/>
        </w:rPr>
        <w:t>，积极探索“三服务”工作的新理念、新思路、新方法，统筹推进政府职能转变和“放管服”改革重要领域、关键环节的重大政策措施，</w:t>
      </w:r>
      <w:r>
        <w:rPr>
          <w:rFonts w:hint="eastAsia" w:ascii="仿宋_GB2312" w:hAnsi="仿宋_GB2312" w:eastAsia="仿宋_GB2312" w:cs="仿宋_GB2312"/>
          <w:color w:val="auto"/>
          <w:sz w:val="32"/>
          <w:szCs w:val="32"/>
          <w:highlight w:val="none"/>
          <w:lang w:val="en-US" w:eastAsia="zh-CN"/>
        </w:rPr>
        <w:t>全力</w:t>
      </w:r>
      <w:r>
        <w:rPr>
          <w:rFonts w:hint="eastAsia" w:ascii="仿宋_GB2312" w:hAnsi="仿宋_GB2312" w:eastAsia="仿宋_GB2312" w:cs="仿宋_GB2312"/>
          <w:color w:val="auto"/>
          <w:sz w:val="32"/>
          <w:szCs w:val="32"/>
          <w:highlight w:val="none"/>
        </w:rPr>
        <w:t>推动</w:t>
      </w:r>
      <w:r>
        <w:rPr>
          <w:rFonts w:hint="eastAsia" w:ascii="仿宋_GB2312" w:hAnsi="仿宋_GB2312" w:eastAsia="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rPr>
        <w:t>委、</w:t>
      </w:r>
      <w:r>
        <w:rPr>
          <w:rFonts w:hint="eastAsia" w:ascii="仿宋_GB2312" w:hAnsi="仿宋_GB2312" w:eastAsia="仿宋_GB2312" w:cs="仿宋_GB2312"/>
          <w:color w:val="auto"/>
          <w:sz w:val="32"/>
          <w:szCs w:val="32"/>
          <w:highlight w:val="none"/>
          <w:lang w:val="en-US" w:eastAsia="zh-CN"/>
        </w:rPr>
        <w:t>县</w:t>
      </w:r>
      <w:r>
        <w:rPr>
          <w:rFonts w:hint="eastAsia" w:ascii="仿宋_GB2312" w:hAnsi="仿宋_GB2312" w:eastAsia="仿宋_GB2312" w:cs="仿宋_GB2312"/>
          <w:color w:val="auto"/>
          <w:sz w:val="32"/>
          <w:szCs w:val="32"/>
          <w:highlight w:val="none"/>
        </w:rPr>
        <w:t>政府工作部署</w:t>
      </w:r>
      <w:r>
        <w:rPr>
          <w:rFonts w:hint="eastAsia" w:ascii="仿宋_GB2312" w:hAnsi="仿宋_GB2312" w:eastAsia="仿宋_GB2312" w:cs="仿宋_GB2312"/>
          <w:color w:val="auto"/>
          <w:sz w:val="32"/>
          <w:szCs w:val="32"/>
          <w:highlight w:val="none"/>
          <w:lang w:val="en-US" w:eastAsia="zh-CN"/>
        </w:rPr>
        <w:t>落实落地</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val="en-US" w:eastAsia="zh-CN"/>
        </w:rPr>
        <w:t>四</w:t>
      </w: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val="en-US" w:eastAsia="zh-CN"/>
        </w:rPr>
        <w:t>进一步</w:t>
      </w:r>
      <w:r>
        <w:rPr>
          <w:rFonts w:hint="eastAsia" w:ascii="楷体_GB2312" w:hAnsi="楷体_GB2312" w:eastAsia="楷体_GB2312" w:cs="楷体_GB2312"/>
          <w:color w:val="auto"/>
          <w:sz w:val="32"/>
          <w:szCs w:val="32"/>
          <w:highlight w:val="none"/>
        </w:rPr>
        <w:t>开展法治宣传教育。</w:t>
      </w:r>
      <w:r>
        <w:rPr>
          <w:rFonts w:hint="eastAsia" w:ascii="仿宋_GB2312" w:hAnsi="仿宋_GB2312" w:eastAsia="仿宋_GB2312" w:cs="仿宋_GB2312"/>
          <w:color w:val="auto"/>
          <w:sz w:val="32"/>
          <w:szCs w:val="32"/>
          <w:highlight w:val="none"/>
        </w:rPr>
        <w:t>以实施“八五”普法规划为契机，充分发挥法治固根本、稳预期、利长远的保障作用，</w:t>
      </w:r>
      <w:r>
        <w:rPr>
          <w:rFonts w:hint="eastAsia" w:ascii="仿宋_GB2312" w:hAnsi="仿宋_GB2312" w:eastAsia="仿宋_GB2312" w:cs="仿宋_GB2312"/>
          <w:color w:val="auto"/>
          <w:sz w:val="32"/>
          <w:szCs w:val="32"/>
          <w:highlight w:val="none"/>
          <w:lang w:val="en-US" w:eastAsia="zh-CN"/>
        </w:rPr>
        <w:t>常态化组织学法活动，提高县政府办公室工作人员的</w:t>
      </w:r>
      <w:r>
        <w:rPr>
          <w:rFonts w:hint="eastAsia" w:ascii="仿宋_GB2312" w:hAnsi="仿宋_GB2312" w:eastAsia="仿宋_GB2312" w:cs="仿宋_GB2312"/>
          <w:color w:val="auto"/>
          <w:sz w:val="32"/>
          <w:szCs w:val="32"/>
          <w:highlight w:val="none"/>
        </w:rPr>
        <w:t>学法用法本领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全方位加大普法力度，特别是创新普法宣传方式，谋划开展“线上+线下”系列普法活动，进一步增强政府办党员干部尊法、守法、学法、用法意识。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（五）</w:t>
      </w:r>
      <w:r>
        <w:rPr>
          <w:rFonts w:hint="eastAsia" w:ascii="楷体_GB2312" w:hAnsi="楷体_GB2312" w:eastAsia="楷体_GB2312" w:cs="楷体_GB2312"/>
          <w:color w:val="auto"/>
          <w:sz w:val="32"/>
          <w:szCs w:val="32"/>
          <w:highlight w:val="none"/>
          <w:lang w:val="en-US" w:eastAsia="zh-CN"/>
        </w:rPr>
        <w:t>进一步</w:t>
      </w:r>
      <w:r>
        <w:rPr>
          <w:rFonts w:hint="eastAsia" w:ascii="楷体_GB2312" w:hAnsi="楷体_GB2312" w:eastAsia="楷体_GB2312" w:cs="楷体_GB2312"/>
          <w:color w:val="auto"/>
          <w:sz w:val="32"/>
          <w:szCs w:val="32"/>
          <w:highlight w:val="none"/>
        </w:rPr>
        <w:t>加强法治人才队伍建设。</w:t>
      </w:r>
      <w:r>
        <w:rPr>
          <w:rFonts w:hint="eastAsia" w:ascii="仿宋_GB2312" w:hAnsi="仿宋_GB2312" w:eastAsia="仿宋_GB2312" w:cs="仿宋_GB2312"/>
          <w:color w:val="auto"/>
          <w:sz w:val="32"/>
          <w:szCs w:val="32"/>
          <w:highlight w:val="none"/>
        </w:rPr>
        <w:t>强化</w:t>
      </w:r>
      <w:r>
        <w:rPr>
          <w:rFonts w:hint="eastAsia" w:ascii="仿宋_GB2312" w:hAnsi="仿宋_GB2312" w:eastAsia="仿宋_GB2312" w:cs="仿宋_GB2312"/>
          <w:color w:val="auto"/>
          <w:sz w:val="32"/>
          <w:szCs w:val="32"/>
          <w:highlight w:val="none"/>
          <w:lang w:val="en-US" w:eastAsia="zh-CN"/>
        </w:rPr>
        <w:t>办公室</w:t>
      </w:r>
      <w:r>
        <w:rPr>
          <w:rFonts w:hint="eastAsia" w:ascii="仿宋_GB2312" w:hAnsi="仿宋_GB2312" w:eastAsia="仿宋_GB2312" w:cs="仿宋_GB2312"/>
          <w:color w:val="auto"/>
          <w:sz w:val="32"/>
          <w:szCs w:val="32"/>
          <w:highlight w:val="none"/>
        </w:rPr>
        <w:t>工作人员专业技能、法律法规培训，</w:t>
      </w:r>
      <w:r>
        <w:rPr>
          <w:rFonts w:hint="eastAsia" w:ascii="仿宋_GB2312" w:hAnsi="仿宋_GB2312" w:eastAsia="仿宋_GB2312" w:cs="仿宋_GB2312"/>
          <w:color w:val="auto"/>
          <w:sz w:val="32"/>
          <w:szCs w:val="32"/>
          <w:highlight w:val="none"/>
          <w:lang w:val="en-US" w:eastAsia="zh-CN"/>
        </w:rPr>
        <w:t>并通过</w:t>
      </w:r>
      <w:r>
        <w:rPr>
          <w:rFonts w:hint="eastAsia" w:ascii="仿宋_GB2312" w:hAnsi="仿宋_GB2312" w:eastAsia="仿宋_GB2312" w:cs="仿宋_GB2312"/>
          <w:color w:val="auto"/>
          <w:sz w:val="32"/>
          <w:szCs w:val="32"/>
          <w:highlight w:val="none"/>
        </w:rPr>
        <w:t>以考促学等方式，不断提升依法行政工作能力和水平。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饶平县人民政府办公室  </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 xml:space="preserve">2022年11月20日  </w:t>
      </w:r>
      <w:r>
        <w:rPr>
          <w:rFonts w:hint="eastAsia" w:ascii="仿宋_GB2312" w:hAnsi="仿宋_GB2312" w:eastAsia="仿宋_GB2312" w:cs="仿宋_GB2312"/>
          <w:color w:val="auto"/>
          <w:sz w:val="32"/>
          <w:szCs w:val="32"/>
          <w:lang w:val="en-US" w:eastAsia="zh-CN"/>
        </w:rPr>
        <w:t xml:space="preserve">  </w:t>
      </w:r>
    </w:p>
    <w:sectPr>
      <w:footerReference r:id="rId3" w:type="default"/>
      <w:pgSz w:w="11906" w:h="16838"/>
      <w:pgMar w:top="2154"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B075FF"/>
    <w:multiLevelType w:val="singleLevel"/>
    <w:tmpl w:val="CBB075F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iNzkwOGNkOWUyNTQ3NzY2NDAwZjkzOGViNDYzZDIifQ=="/>
  </w:docVars>
  <w:rsids>
    <w:rsidRoot w:val="00000000"/>
    <w:rsid w:val="00706A49"/>
    <w:rsid w:val="034F2928"/>
    <w:rsid w:val="03587E67"/>
    <w:rsid w:val="04390C0B"/>
    <w:rsid w:val="04B14F1D"/>
    <w:rsid w:val="05C73211"/>
    <w:rsid w:val="065A1249"/>
    <w:rsid w:val="06673EEC"/>
    <w:rsid w:val="085E64AF"/>
    <w:rsid w:val="086A6259"/>
    <w:rsid w:val="086D0371"/>
    <w:rsid w:val="08D06925"/>
    <w:rsid w:val="09E35B78"/>
    <w:rsid w:val="09EA6F07"/>
    <w:rsid w:val="0A1B4239"/>
    <w:rsid w:val="0AF86F5E"/>
    <w:rsid w:val="0B2B2436"/>
    <w:rsid w:val="0B3B7875"/>
    <w:rsid w:val="0B674587"/>
    <w:rsid w:val="0C5356E1"/>
    <w:rsid w:val="0CB455EA"/>
    <w:rsid w:val="0CF06F2A"/>
    <w:rsid w:val="0D147F31"/>
    <w:rsid w:val="0D2C5DFE"/>
    <w:rsid w:val="0E222483"/>
    <w:rsid w:val="0E440BB0"/>
    <w:rsid w:val="0E464928"/>
    <w:rsid w:val="0E8F62CF"/>
    <w:rsid w:val="0E9438E5"/>
    <w:rsid w:val="101132A6"/>
    <w:rsid w:val="10276447"/>
    <w:rsid w:val="108E1F08"/>
    <w:rsid w:val="10AF2C58"/>
    <w:rsid w:val="11082369"/>
    <w:rsid w:val="1159630E"/>
    <w:rsid w:val="122338FE"/>
    <w:rsid w:val="12422527"/>
    <w:rsid w:val="12920B11"/>
    <w:rsid w:val="13463B67"/>
    <w:rsid w:val="135F6376"/>
    <w:rsid w:val="146C638E"/>
    <w:rsid w:val="14E657FA"/>
    <w:rsid w:val="16F63FF1"/>
    <w:rsid w:val="17286CD0"/>
    <w:rsid w:val="17C743C5"/>
    <w:rsid w:val="182061EA"/>
    <w:rsid w:val="18AB63FB"/>
    <w:rsid w:val="18BA5266"/>
    <w:rsid w:val="18BB3F98"/>
    <w:rsid w:val="18C94AD3"/>
    <w:rsid w:val="195D743D"/>
    <w:rsid w:val="196E5E6C"/>
    <w:rsid w:val="1A7F47B4"/>
    <w:rsid w:val="1AAF57CE"/>
    <w:rsid w:val="1B1A33C4"/>
    <w:rsid w:val="1BE3777D"/>
    <w:rsid w:val="1DB90BE4"/>
    <w:rsid w:val="1E2F6166"/>
    <w:rsid w:val="1E3D7AF5"/>
    <w:rsid w:val="1E6F1EF1"/>
    <w:rsid w:val="1E9A6CF6"/>
    <w:rsid w:val="1F174A02"/>
    <w:rsid w:val="1F7A08D5"/>
    <w:rsid w:val="20172063"/>
    <w:rsid w:val="217F1D34"/>
    <w:rsid w:val="21D30B38"/>
    <w:rsid w:val="220426D8"/>
    <w:rsid w:val="22596EC8"/>
    <w:rsid w:val="226848C8"/>
    <w:rsid w:val="22DE117B"/>
    <w:rsid w:val="23045086"/>
    <w:rsid w:val="230E7CB2"/>
    <w:rsid w:val="23551C37"/>
    <w:rsid w:val="254E4C2C"/>
    <w:rsid w:val="25960651"/>
    <w:rsid w:val="269E134D"/>
    <w:rsid w:val="279F35CF"/>
    <w:rsid w:val="27C16042"/>
    <w:rsid w:val="27F751B9"/>
    <w:rsid w:val="283A5680"/>
    <w:rsid w:val="28793E20"/>
    <w:rsid w:val="2A773078"/>
    <w:rsid w:val="2A7E307A"/>
    <w:rsid w:val="2AD00E86"/>
    <w:rsid w:val="2B5E460E"/>
    <w:rsid w:val="2BDF043E"/>
    <w:rsid w:val="2C3A5674"/>
    <w:rsid w:val="2C3D33B6"/>
    <w:rsid w:val="2DBD47AF"/>
    <w:rsid w:val="2E3C677E"/>
    <w:rsid w:val="2E497DF1"/>
    <w:rsid w:val="2E810638"/>
    <w:rsid w:val="2EA909BF"/>
    <w:rsid w:val="304E5B92"/>
    <w:rsid w:val="306A5CC3"/>
    <w:rsid w:val="30835C20"/>
    <w:rsid w:val="30A457B2"/>
    <w:rsid w:val="30D175AE"/>
    <w:rsid w:val="30DD2A72"/>
    <w:rsid w:val="31140B8A"/>
    <w:rsid w:val="31915E9F"/>
    <w:rsid w:val="321E75CB"/>
    <w:rsid w:val="32891103"/>
    <w:rsid w:val="330A3CD4"/>
    <w:rsid w:val="334A113E"/>
    <w:rsid w:val="33C10429"/>
    <w:rsid w:val="34B47F8E"/>
    <w:rsid w:val="34F45898"/>
    <w:rsid w:val="35DF103A"/>
    <w:rsid w:val="35E52F56"/>
    <w:rsid w:val="3690539D"/>
    <w:rsid w:val="371723A5"/>
    <w:rsid w:val="376712E7"/>
    <w:rsid w:val="379406B9"/>
    <w:rsid w:val="37D03331"/>
    <w:rsid w:val="38BA3086"/>
    <w:rsid w:val="393F5C66"/>
    <w:rsid w:val="3A2B6094"/>
    <w:rsid w:val="3A4B4EF0"/>
    <w:rsid w:val="3BAE1209"/>
    <w:rsid w:val="3C4675C6"/>
    <w:rsid w:val="3CC05CC0"/>
    <w:rsid w:val="3E597F7E"/>
    <w:rsid w:val="3E72001C"/>
    <w:rsid w:val="3ED27E4A"/>
    <w:rsid w:val="3F817BE4"/>
    <w:rsid w:val="3FFE11BF"/>
    <w:rsid w:val="406A3FA8"/>
    <w:rsid w:val="418A27A2"/>
    <w:rsid w:val="424C7A58"/>
    <w:rsid w:val="424F7527"/>
    <w:rsid w:val="44656127"/>
    <w:rsid w:val="44DD4D91"/>
    <w:rsid w:val="473B20B1"/>
    <w:rsid w:val="473C453F"/>
    <w:rsid w:val="477A62E1"/>
    <w:rsid w:val="47C06F1E"/>
    <w:rsid w:val="488E6629"/>
    <w:rsid w:val="498228CF"/>
    <w:rsid w:val="49B11A1B"/>
    <w:rsid w:val="4A2A6A1A"/>
    <w:rsid w:val="4A442959"/>
    <w:rsid w:val="4B2C48CA"/>
    <w:rsid w:val="4B310F37"/>
    <w:rsid w:val="4BB00986"/>
    <w:rsid w:val="4C0513A3"/>
    <w:rsid w:val="4C0C0D76"/>
    <w:rsid w:val="4CEB6579"/>
    <w:rsid w:val="4E1927DA"/>
    <w:rsid w:val="4E7B76FB"/>
    <w:rsid w:val="4EC2658F"/>
    <w:rsid w:val="4F191644"/>
    <w:rsid w:val="50C75476"/>
    <w:rsid w:val="50F43794"/>
    <w:rsid w:val="52CD28C8"/>
    <w:rsid w:val="53A63AD7"/>
    <w:rsid w:val="53F56126"/>
    <w:rsid w:val="540811BD"/>
    <w:rsid w:val="54482775"/>
    <w:rsid w:val="554A7E27"/>
    <w:rsid w:val="55646C51"/>
    <w:rsid w:val="559351F5"/>
    <w:rsid w:val="55AE324F"/>
    <w:rsid w:val="562E599A"/>
    <w:rsid w:val="56F40992"/>
    <w:rsid w:val="57BB30F9"/>
    <w:rsid w:val="58473F79"/>
    <w:rsid w:val="58BF6D7E"/>
    <w:rsid w:val="59613991"/>
    <w:rsid w:val="596A6CE9"/>
    <w:rsid w:val="599651FE"/>
    <w:rsid w:val="59A506A8"/>
    <w:rsid w:val="5A1466CB"/>
    <w:rsid w:val="5A9D4E9D"/>
    <w:rsid w:val="5C7D15A8"/>
    <w:rsid w:val="5D4425B9"/>
    <w:rsid w:val="5D8D39F5"/>
    <w:rsid w:val="5E4045E7"/>
    <w:rsid w:val="5E543AC4"/>
    <w:rsid w:val="5E93396C"/>
    <w:rsid w:val="5E9345EC"/>
    <w:rsid w:val="5E9860A7"/>
    <w:rsid w:val="5ED864A3"/>
    <w:rsid w:val="60EF242C"/>
    <w:rsid w:val="61DD38B8"/>
    <w:rsid w:val="61F1668F"/>
    <w:rsid w:val="63307EBF"/>
    <w:rsid w:val="63333EB7"/>
    <w:rsid w:val="640970FF"/>
    <w:rsid w:val="6477675E"/>
    <w:rsid w:val="648D1EF7"/>
    <w:rsid w:val="64F32289"/>
    <w:rsid w:val="654D64D9"/>
    <w:rsid w:val="6570176B"/>
    <w:rsid w:val="657C227E"/>
    <w:rsid w:val="665D57D6"/>
    <w:rsid w:val="67697100"/>
    <w:rsid w:val="67896ED4"/>
    <w:rsid w:val="68437083"/>
    <w:rsid w:val="69946005"/>
    <w:rsid w:val="69951BF8"/>
    <w:rsid w:val="6A0942FC"/>
    <w:rsid w:val="6A59237F"/>
    <w:rsid w:val="6B557B0C"/>
    <w:rsid w:val="6CBF33A9"/>
    <w:rsid w:val="6CCF1CAB"/>
    <w:rsid w:val="6D0A63C2"/>
    <w:rsid w:val="6D194C0E"/>
    <w:rsid w:val="6D5B4F1A"/>
    <w:rsid w:val="6D62556A"/>
    <w:rsid w:val="6E261470"/>
    <w:rsid w:val="6E290B1B"/>
    <w:rsid w:val="6E9D506D"/>
    <w:rsid w:val="6EB72D06"/>
    <w:rsid w:val="6EB95C23"/>
    <w:rsid w:val="6F252344"/>
    <w:rsid w:val="6F263764"/>
    <w:rsid w:val="704F5A14"/>
    <w:rsid w:val="709D505A"/>
    <w:rsid w:val="71ED1E0E"/>
    <w:rsid w:val="72DF28AE"/>
    <w:rsid w:val="73397A01"/>
    <w:rsid w:val="7459689C"/>
    <w:rsid w:val="74C90910"/>
    <w:rsid w:val="74CA6436"/>
    <w:rsid w:val="75647DDF"/>
    <w:rsid w:val="75A1188D"/>
    <w:rsid w:val="75AB2ED7"/>
    <w:rsid w:val="764010A6"/>
    <w:rsid w:val="76EC08E6"/>
    <w:rsid w:val="77045DAF"/>
    <w:rsid w:val="77644920"/>
    <w:rsid w:val="78632E2A"/>
    <w:rsid w:val="78704614"/>
    <w:rsid w:val="79123278"/>
    <w:rsid w:val="79267881"/>
    <w:rsid w:val="79430114"/>
    <w:rsid w:val="7961380D"/>
    <w:rsid w:val="7A9E283F"/>
    <w:rsid w:val="7AB76EBC"/>
    <w:rsid w:val="7BDA7B3A"/>
    <w:rsid w:val="7C10714B"/>
    <w:rsid w:val="7D0C3A90"/>
    <w:rsid w:val="7D4E40A8"/>
    <w:rsid w:val="7ED76262"/>
    <w:rsid w:val="7F6C2527"/>
    <w:rsid w:val="7F857B2A"/>
    <w:rsid w:val="7F8B5D74"/>
    <w:rsid w:val="7FD14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widowControl w:val="0"/>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3522</Words>
  <Characters>3594</Characters>
  <Lines>0</Lines>
  <Paragraphs>0</Paragraphs>
  <TotalTime>15</TotalTime>
  <ScaleCrop>false</ScaleCrop>
  <LinksUpToDate>false</LinksUpToDate>
  <CharactersWithSpaces>3600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2021-11-15T09:01:00Z</dcterms:created>
  <dc:creator>Administrator</dc:creator>
  <cp:lastModifiedBy>小幸运</cp:lastModifiedBy>
  <cp:lastPrinted>2023-06-15T03:03:00Z</cp:lastPrinted>
  <dcterms:modified xsi:type="dcterms:W3CDTF">2023-06-27T09:42:36Z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3EC416A7443147A08CA47C89E4555555</vt:lpwstr>
  </property>
</Properties>
</file>