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微软雅黑" w:hAnsi="微软雅黑" w:cs="宋体"/>
          <w:b/>
          <w:bCs/>
          <w:sz w:val="40"/>
          <w:szCs w:val="40"/>
          <w:lang w:eastAsia="zh-CN"/>
        </w:rPr>
      </w:pPr>
      <w:r>
        <w:rPr>
          <w:rFonts w:hint="eastAsia" w:ascii="微软雅黑" w:hAnsi="微软雅黑" w:cs="宋体"/>
          <w:b/>
          <w:bCs/>
          <w:sz w:val="40"/>
          <w:szCs w:val="40"/>
        </w:rPr>
        <w:t>中国公民健康素养</w:t>
      </w:r>
      <w:r>
        <w:rPr>
          <w:rFonts w:hint="eastAsia" w:ascii="微软雅黑" w:hAnsi="微软雅黑" w:cs="宋体"/>
          <w:b/>
          <w:bCs/>
          <w:sz w:val="40"/>
          <w:szCs w:val="40"/>
          <w:lang w:val="en-US" w:eastAsia="zh-CN"/>
        </w:rPr>
        <w:t>66条</w:t>
      </w:r>
      <w:r>
        <w:rPr>
          <w:rFonts w:hint="eastAsia" w:ascii="微软雅黑" w:hAnsi="微软雅黑" w:cs="宋体"/>
          <w:b/>
          <w:bCs/>
          <w:sz w:val="40"/>
          <w:szCs w:val="40"/>
        </w:rPr>
        <w:t>—基本知识与技能</w:t>
      </w:r>
      <w:r>
        <w:rPr>
          <w:rFonts w:hint="eastAsia" w:ascii="微软雅黑" w:hAnsi="微软雅黑" w:cs="宋体"/>
          <w:b/>
          <w:bCs/>
          <w:sz w:val="40"/>
          <w:szCs w:val="40"/>
          <w:lang w:eastAsia="zh-CN"/>
        </w:rPr>
        <w:t>（</w:t>
      </w:r>
      <w:r>
        <w:rPr>
          <w:rFonts w:hint="eastAsia" w:ascii="微软雅黑" w:hAnsi="微软雅黑" w:cs="宋体"/>
          <w:b/>
          <w:bCs/>
          <w:sz w:val="40"/>
          <w:szCs w:val="40"/>
          <w:lang w:val="en-US" w:eastAsia="zh-CN"/>
        </w:rPr>
        <w:t>一</w:t>
      </w:r>
      <w:r>
        <w:rPr>
          <w:rFonts w:hint="eastAsia" w:ascii="微软雅黑" w:hAnsi="微软雅黑" w:cs="宋体"/>
          <w:b/>
          <w:bCs/>
          <w:sz w:val="40"/>
          <w:szCs w:val="40"/>
          <w:lang w:eastAsia="zh-CN"/>
        </w:rPr>
        <w:t>）</w:t>
      </w:r>
    </w:p>
    <w:p>
      <w:pPr>
        <w:spacing w:after="0" w:line="320" w:lineRule="exact"/>
        <w:rPr>
          <w:rFonts w:hint="eastAsia" w:ascii="宋体" w:hAnsi="宋体" w:cs="Arial"/>
          <w:b/>
          <w:bCs/>
          <w:color w:val="008000"/>
          <w:sz w:val="21"/>
          <w:szCs w:val="21"/>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宋体" w:hAnsi="宋体" w:cs="Arial"/>
          <w:b/>
          <w:bCs/>
          <w:color w:val="008000"/>
          <w:sz w:val="32"/>
          <w:szCs w:val="32"/>
        </w:rPr>
      </w:pPr>
      <w:r>
        <w:rPr>
          <w:rFonts w:hint="eastAsia" w:ascii="宋体" w:hAnsi="宋体" w:cs="Arial"/>
          <w:b/>
          <w:bCs/>
          <w:color w:val="008000"/>
          <w:sz w:val="32"/>
          <w:szCs w:val="32"/>
        </w:rPr>
        <w:t>8.接种疫苗是预防一些传染病最有效、最经济的措施，儿童出生后应当按照免疫程序接种疫苗。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宋体" w:hAnsi="宋体" w:eastAsia="宋体"/>
          <w:sz w:val="32"/>
          <w:szCs w:val="32"/>
        </w:rPr>
      </w:pPr>
      <w:r>
        <w:rPr>
          <w:rFonts w:hint="eastAsia" w:ascii="宋体" w:hAnsi="宋体" w:eastAsia="宋体"/>
          <w:sz w:val="32"/>
          <w:szCs w:val="32"/>
        </w:rPr>
        <w:t>疫苗是指能使机体产生对传染病的免疫力的生物制剂。人类已经发明了许多疫苗，通过接种疫苗可以预防不同的传染病。疫苗是预防传染病的有力武器。</w:t>
      </w:r>
    </w:p>
    <w:p>
      <w:pPr>
        <w:keepNext w:val="0"/>
        <w:keepLines w:val="0"/>
        <w:pageBreakBefore w:val="0"/>
        <w:widowControl/>
        <w:kinsoku/>
        <w:wordWrap/>
        <w:overflowPunct/>
        <w:topLinePunct w:val="0"/>
        <w:autoSpaceDE/>
        <w:autoSpaceDN/>
        <w:bidi w:val="0"/>
        <w:adjustRightInd w:val="0"/>
        <w:snapToGrid w:val="0"/>
        <w:spacing w:after="0" w:line="560" w:lineRule="exact"/>
        <w:ind w:firstLine="405"/>
        <w:textAlignment w:val="auto"/>
        <w:rPr>
          <w:rFonts w:ascii="宋体" w:hAnsi="宋体" w:eastAsia="宋体"/>
          <w:sz w:val="32"/>
          <w:szCs w:val="32"/>
        </w:rPr>
      </w:pPr>
      <w:r>
        <w:rPr>
          <w:rFonts w:hint="eastAsia" w:ascii="宋体" w:hAnsi="宋体" w:eastAsia="宋体"/>
          <w:sz w:val="32"/>
          <w:szCs w:val="32"/>
        </w:rPr>
        <w:t>所谓预防接种，就是用人工接种的方法，给人体输入死的（医学上称为灭活）病原微生物、或丧失致病能力的病原生物、或是病原体的抗原性物质，用它们刺激人体的免疫系统，产生对人体具有保护作用的免疫物质，从而增加了对某种疾病的抵抗能力，使被接种者不对这种病感染，或者感染后不发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宋体" w:hAnsi="宋体" w:eastAsia="宋体"/>
          <w:sz w:val="32"/>
          <w:szCs w:val="32"/>
        </w:rPr>
      </w:pPr>
      <w:r>
        <w:rPr>
          <w:rFonts w:hint="eastAsia" w:ascii="宋体" w:hAnsi="宋体" w:eastAsia="宋体"/>
          <w:sz w:val="32"/>
          <w:szCs w:val="32"/>
        </w:rPr>
        <w:t>要抵抗细菌、病毒的侵犯，特别是防止对儿童的生长发育有很大影响甚至危及生命的传染病的发生，如小儿麻痹症、白喉、百日咳、麻疹、乙型肝炎、结核病等，就必须让儿童自身尽早产生对这些传染病的抵抗力。预防接种就是把能使人产生对某种传染病的抵抗力的疫苗接种于人体。儿童进行预防接种后，就会获得对传染病的特异的免疫力，这样就不会得相应的传染病了。因此，儿童计划免疫是预防和控制并最终消灭相应传染病最方便、最有效、最经济的手段。</w:t>
      </w:r>
    </w:p>
    <w:p>
      <w:pPr>
        <w:keepNext w:val="0"/>
        <w:keepLines w:val="0"/>
        <w:pageBreakBefore w:val="0"/>
        <w:widowControl/>
        <w:kinsoku/>
        <w:wordWrap/>
        <w:overflowPunct/>
        <w:topLinePunct w:val="0"/>
        <w:autoSpaceDE/>
        <w:autoSpaceDN/>
        <w:bidi w:val="0"/>
        <w:adjustRightInd w:val="0"/>
        <w:snapToGrid w:val="0"/>
        <w:spacing w:after="0" w:line="560" w:lineRule="exact"/>
        <w:ind w:firstLine="405"/>
        <w:textAlignment w:val="auto"/>
        <w:rPr>
          <w:rFonts w:ascii="宋体" w:hAnsi="宋体" w:eastAsia="宋体"/>
          <w:sz w:val="32"/>
          <w:szCs w:val="32"/>
        </w:rPr>
      </w:pPr>
      <w:r>
        <w:rPr>
          <w:rFonts w:hint="eastAsia" w:ascii="宋体" w:hAnsi="宋体" w:eastAsia="宋体"/>
          <w:sz w:val="32"/>
          <w:szCs w:val="32"/>
        </w:rPr>
        <w:t>疫苗分为两类，一类疫苗和二类疫苗。一类疫苗是指政府免费向公民提供，公民应当依照政府的规定受种的疫苗；二类疫苗是指由公民自费并且自愿受种的其他疫苗。</w:t>
      </w:r>
    </w:p>
    <w:p>
      <w:pPr>
        <w:keepNext w:val="0"/>
        <w:keepLines w:val="0"/>
        <w:pageBreakBefore w:val="0"/>
        <w:widowControl/>
        <w:kinsoku/>
        <w:wordWrap/>
        <w:overflowPunct/>
        <w:topLinePunct w:val="0"/>
        <w:autoSpaceDE/>
        <w:autoSpaceDN/>
        <w:bidi w:val="0"/>
        <w:adjustRightInd w:val="0"/>
        <w:snapToGrid w:val="0"/>
        <w:spacing w:after="0" w:line="560" w:lineRule="exact"/>
        <w:ind w:firstLine="405"/>
        <w:textAlignment w:val="auto"/>
        <w:rPr>
          <w:rFonts w:ascii="宋体" w:hAnsi="宋体" w:eastAsia="宋体"/>
          <w:sz w:val="32"/>
          <w:szCs w:val="32"/>
        </w:rPr>
      </w:pPr>
      <w:r>
        <w:rPr>
          <w:rFonts w:hint="eastAsia" w:ascii="宋体" w:hAnsi="宋体" w:eastAsia="宋体"/>
          <w:sz w:val="32"/>
          <w:szCs w:val="32"/>
        </w:rPr>
        <w:t>《中华人民共和国传染病防治法》规定“国家实行有计划的预防接种制度”和“对儿童实行预防接种证制度”。《疫苗流通和预防接种管理条例》也规定“需要接种第一类疫苗的受种者应当依照条例规定受种；受种者为未成年人的，其监护人应当配合有关的疾病预防控制机构和医疗机构等医疗卫生机构，保证受种者及时受种”。目前，我省儿童国家免疫规划疫苗包括乙肝疫苗、卡介苗、脊灰</w:t>
      </w:r>
      <w:r>
        <w:rPr>
          <w:rFonts w:hint="eastAsia" w:ascii="宋体" w:hAnsi="宋体" w:eastAsia="宋体" w:cs="Arial"/>
          <w:sz w:val="32"/>
          <w:szCs w:val="32"/>
        </w:rPr>
        <w:t>减毒活</w:t>
      </w:r>
      <w:r>
        <w:rPr>
          <w:rFonts w:hint="eastAsia" w:ascii="宋体" w:hAnsi="宋体" w:eastAsia="宋体"/>
          <w:sz w:val="32"/>
          <w:szCs w:val="32"/>
        </w:rPr>
        <w:t>疫苗、百白破疫苗、白破疫苗、乙脑</w:t>
      </w:r>
      <w:r>
        <w:rPr>
          <w:rFonts w:hint="eastAsia" w:ascii="宋体" w:hAnsi="宋体" w:eastAsia="宋体" w:cs="Arial"/>
          <w:sz w:val="32"/>
          <w:szCs w:val="32"/>
        </w:rPr>
        <w:t>减毒活</w:t>
      </w:r>
      <w:r>
        <w:rPr>
          <w:rFonts w:hint="eastAsia" w:ascii="宋体" w:hAnsi="宋体" w:eastAsia="宋体"/>
          <w:sz w:val="32"/>
          <w:szCs w:val="32"/>
        </w:rPr>
        <w:t>疫苗、麻风（或麻疹）疫苗、麻腮风（麻腮或麻疹）疫苗、流脑多糖疫苗（含</w:t>
      </w:r>
      <w:r>
        <w:rPr>
          <w:rFonts w:ascii="宋体" w:hAnsi="宋体" w:eastAsia="宋体"/>
          <w:sz w:val="32"/>
          <w:szCs w:val="32"/>
        </w:rPr>
        <w:t>A</w:t>
      </w:r>
      <w:r>
        <w:rPr>
          <w:rFonts w:hint="eastAsia" w:ascii="宋体" w:hAnsi="宋体" w:eastAsia="宋体"/>
          <w:sz w:val="32"/>
          <w:szCs w:val="32"/>
        </w:rPr>
        <w:t>群和</w:t>
      </w:r>
      <w:r>
        <w:rPr>
          <w:rFonts w:ascii="宋体" w:hAnsi="宋体" w:eastAsia="宋体"/>
          <w:sz w:val="32"/>
          <w:szCs w:val="32"/>
        </w:rPr>
        <w:t>A+C</w:t>
      </w:r>
      <w:r>
        <w:rPr>
          <w:rFonts w:hint="eastAsia" w:ascii="宋体" w:hAnsi="宋体" w:eastAsia="宋体"/>
          <w:sz w:val="32"/>
          <w:szCs w:val="32"/>
        </w:rPr>
        <w:t>群流脑多糖疫苗）和甲肝减毒活疫苗。接种上述疫苗不收取任何费用。</w:t>
      </w:r>
    </w:p>
    <w:p>
      <w:pPr>
        <w:keepNext w:val="0"/>
        <w:keepLines w:val="0"/>
        <w:pageBreakBefore w:val="0"/>
        <w:widowControl/>
        <w:kinsoku/>
        <w:wordWrap/>
        <w:overflowPunct/>
        <w:topLinePunct w:val="0"/>
        <w:autoSpaceDE/>
        <w:autoSpaceDN/>
        <w:bidi w:val="0"/>
        <w:adjustRightInd w:val="0"/>
        <w:snapToGrid w:val="0"/>
        <w:spacing w:after="0" w:line="560" w:lineRule="exact"/>
        <w:ind w:firstLine="405"/>
        <w:textAlignment w:val="auto"/>
        <w:rPr>
          <w:rFonts w:ascii="宋体" w:hAnsi="宋体" w:eastAsia="宋体"/>
          <w:sz w:val="32"/>
          <w:szCs w:val="32"/>
        </w:rPr>
        <w:sectPr>
          <w:footerReference r:id="rId4" w:type="default"/>
          <w:pgSz w:w="7938" w:h="11510"/>
          <w:pgMar w:top="1440" w:right="1077" w:bottom="1440" w:left="1077" w:header="709" w:footer="709" w:gutter="0"/>
          <w:pgNumType w:start="1"/>
          <w:cols w:space="720" w:num="1"/>
          <w:docGrid w:linePitch="360" w:charSpace="0"/>
        </w:sectPr>
      </w:pPr>
      <w:r>
        <w:rPr>
          <w:rFonts w:hint="eastAsia" w:ascii="宋体" w:hAnsi="宋体" w:eastAsia="宋体"/>
          <w:sz w:val="32"/>
          <w:szCs w:val="32"/>
        </w:rPr>
        <w:t>儿童应当按照《广东省儿童国家免疫规划疫苗免疫程序》接种疫苗。儿童出生1个月内应办理预防接种证，每次接种疫苗时应携带预防接种证。儿童监护人应按照免疫程序按时带孩子接种疫苗，错过接种的要尽快补种</w:t>
      </w:r>
      <w:bookmarkStart w:id="0" w:name="_GoBack"/>
      <w:bookmarkEnd w:id="0"/>
    </w:p>
    <w:p>
      <w:pPr>
        <w:spacing w:after="0" w:line="320" w:lineRule="exact"/>
        <w:rPr>
          <w:rFonts w:ascii="宋体" w:hAnsi="宋体" w:eastAsia="宋体"/>
          <w:sz w:val="21"/>
          <w:szCs w:val="21"/>
        </w:rPr>
      </w:pPr>
    </w:p>
    <w:tbl>
      <w:tblPr>
        <w:tblStyle w:val="3"/>
        <w:tblW w:w="8846" w:type="dxa"/>
        <w:tblInd w:w="0" w:type="dxa"/>
        <w:tblLayout w:type="fixed"/>
        <w:tblCellMar>
          <w:top w:w="0" w:type="dxa"/>
          <w:left w:w="108" w:type="dxa"/>
          <w:bottom w:w="0" w:type="dxa"/>
          <w:right w:w="108" w:type="dxa"/>
        </w:tblCellMar>
      </w:tblPr>
      <w:tblGrid>
        <w:gridCol w:w="895"/>
        <w:gridCol w:w="1664"/>
        <w:gridCol w:w="462"/>
        <w:gridCol w:w="462"/>
        <w:gridCol w:w="462"/>
        <w:gridCol w:w="462"/>
        <w:gridCol w:w="462"/>
        <w:gridCol w:w="462"/>
        <w:gridCol w:w="546"/>
        <w:gridCol w:w="546"/>
        <w:gridCol w:w="563"/>
        <w:gridCol w:w="474"/>
        <w:gridCol w:w="462"/>
        <w:gridCol w:w="462"/>
        <w:gridCol w:w="462"/>
      </w:tblGrid>
      <w:tr>
        <w:tblPrEx>
          <w:tblCellMar>
            <w:top w:w="0" w:type="dxa"/>
            <w:left w:w="108" w:type="dxa"/>
            <w:bottom w:w="0" w:type="dxa"/>
            <w:right w:w="108" w:type="dxa"/>
          </w:tblCellMar>
        </w:tblPrEx>
        <w:trPr>
          <w:trHeight w:val="249" w:hRule="atLeast"/>
          <w:tblHeader/>
        </w:trPr>
        <w:tc>
          <w:tcPr>
            <w:tcW w:w="895" w:type="dxa"/>
            <w:vMerge w:val="restart"/>
            <w:tcBorders>
              <w:top w:val="single" w:color="auto" w:sz="4" w:space="0"/>
              <w:left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疫苗名称</w:t>
            </w:r>
          </w:p>
        </w:tc>
        <w:tc>
          <w:tcPr>
            <w:tcW w:w="1664" w:type="dxa"/>
            <w:vMerge w:val="restart"/>
            <w:tcBorders>
              <w:top w:val="single" w:color="auto" w:sz="4" w:space="0"/>
              <w:left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预防的疾病名称</w:t>
            </w:r>
          </w:p>
        </w:tc>
        <w:tc>
          <w:tcPr>
            <w:tcW w:w="6287" w:type="dxa"/>
            <w:gridSpan w:val="13"/>
            <w:tcBorders>
              <w:top w:val="single" w:color="auto" w:sz="4" w:space="0"/>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年龄</w:t>
            </w:r>
          </w:p>
        </w:tc>
      </w:tr>
      <w:tr>
        <w:tblPrEx>
          <w:tblCellMar>
            <w:top w:w="0" w:type="dxa"/>
            <w:left w:w="108" w:type="dxa"/>
            <w:bottom w:w="0" w:type="dxa"/>
            <w:right w:w="108" w:type="dxa"/>
          </w:tblCellMar>
        </w:tblPrEx>
        <w:trPr>
          <w:trHeight w:val="447" w:hRule="atLeast"/>
          <w:tblHeader/>
        </w:trPr>
        <w:tc>
          <w:tcPr>
            <w:tcW w:w="895" w:type="dxa"/>
            <w:vMerge w:val="continue"/>
            <w:tcBorders>
              <w:left w:val="single" w:color="auto" w:sz="4" w:space="0"/>
              <w:bottom w:val="single" w:color="auto" w:sz="4" w:space="0"/>
              <w:right w:val="single" w:color="auto" w:sz="4" w:space="0"/>
            </w:tcBorders>
            <w:noWrap w:val="0"/>
            <w:vAlign w:val="center"/>
          </w:tcPr>
          <w:p>
            <w:pPr>
              <w:adjustRightInd/>
              <w:snapToGrid/>
              <w:spacing w:after="0" w:line="320" w:lineRule="exact"/>
              <w:jc w:val="center"/>
              <w:rPr>
                <w:rFonts w:ascii="宋体" w:hAnsi="宋体" w:eastAsia="宋体" w:cs="宋体"/>
                <w:sz w:val="18"/>
                <w:szCs w:val="18"/>
              </w:rPr>
            </w:pPr>
          </w:p>
        </w:tc>
        <w:tc>
          <w:tcPr>
            <w:tcW w:w="1664" w:type="dxa"/>
            <w:vMerge w:val="continue"/>
            <w:tcBorders>
              <w:left w:val="single" w:color="auto" w:sz="4" w:space="0"/>
              <w:bottom w:val="single" w:color="auto" w:sz="4" w:space="0"/>
              <w:right w:val="single" w:color="auto" w:sz="4" w:space="0"/>
            </w:tcBorders>
            <w:noWrap w:val="0"/>
            <w:vAlign w:val="center"/>
          </w:tcPr>
          <w:p>
            <w:pPr>
              <w:adjustRightInd/>
              <w:snapToGrid/>
              <w:spacing w:after="0" w:line="320" w:lineRule="exact"/>
              <w:jc w:val="center"/>
              <w:rPr>
                <w:rFonts w:ascii="宋体" w:hAnsi="宋体" w:eastAsia="宋体" w:cs="宋体"/>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出生时</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1月龄</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2月龄</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3月龄</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4月龄</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5月龄</w:t>
            </w: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6月龄</w:t>
            </w: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8月龄</w:t>
            </w:r>
          </w:p>
        </w:tc>
        <w:tc>
          <w:tcPr>
            <w:tcW w:w="563"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18月龄</w:t>
            </w: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24月龄</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3周岁</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4周岁</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6周岁</w:t>
            </w:r>
          </w:p>
        </w:tc>
      </w:tr>
      <w:tr>
        <w:tblPrEx>
          <w:tblCellMar>
            <w:top w:w="0" w:type="dxa"/>
            <w:left w:w="108" w:type="dxa"/>
            <w:bottom w:w="0" w:type="dxa"/>
            <w:right w:w="108" w:type="dxa"/>
          </w:tblCellMar>
        </w:tblPrEx>
        <w:trPr>
          <w:trHeight w:val="556"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乙肝疫苗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Arial"/>
                <w:sz w:val="18"/>
                <w:szCs w:val="18"/>
              </w:rPr>
              <w:t>乙型病毒性肝炎</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1</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2</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p>
          <w:p>
            <w:pPr>
              <w:spacing w:after="0" w:line="320" w:lineRule="exact"/>
              <w:jc w:val="center"/>
              <w:rPr>
                <w:rFonts w:ascii="宋体" w:hAnsi="宋体" w:eastAsia="宋体" w:cs="Arial"/>
                <w:sz w:val="18"/>
                <w:szCs w:val="18"/>
              </w:rPr>
            </w:pPr>
            <w:r>
              <w:rPr>
                <w:rFonts w:hint="eastAsia" w:ascii="宋体" w:hAnsi="宋体" w:eastAsia="宋体" w:cs="Arial"/>
                <w:sz w:val="18"/>
                <w:szCs w:val="18"/>
              </w:rPr>
              <w:t>3</w:t>
            </w:r>
          </w:p>
          <w:p>
            <w:pPr>
              <w:spacing w:after="0" w:line="320" w:lineRule="exact"/>
              <w:jc w:val="center"/>
              <w:rPr>
                <w:rFonts w:ascii="宋体" w:hAnsi="宋体" w:eastAsia="宋体" w:cs="宋体"/>
                <w:sz w:val="18"/>
                <w:szCs w:val="18"/>
              </w:rPr>
            </w:pPr>
            <w:r>
              <w:rPr>
                <w:rFonts w:hint="eastAsia" w:ascii="宋体" w:hAnsi="宋体" w:eastAsia="宋体" w:cs="宋体"/>
                <w:sz w:val="18"/>
                <w:szCs w:val="18"/>
              </w:rPr>
              <w:t>剂</w:t>
            </w: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63"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r>
      <w:tr>
        <w:tblPrEx>
          <w:tblCellMar>
            <w:top w:w="0" w:type="dxa"/>
            <w:left w:w="108" w:type="dxa"/>
            <w:bottom w:w="0" w:type="dxa"/>
            <w:right w:w="108" w:type="dxa"/>
          </w:tblCellMar>
        </w:tblPrEx>
        <w:trPr>
          <w:trHeight w:val="556"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卡介苗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结核病</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1剂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63"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r>
      <w:tr>
        <w:tblPrEx>
          <w:tblCellMar>
            <w:top w:w="0" w:type="dxa"/>
            <w:left w:w="108" w:type="dxa"/>
            <w:bottom w:w="0" w:type="dxa"/>
            <w:right w:w="108" w:type="dxa"/>
          </w:tblCellMar>
        </w:tblPrEx>
        <w:trPr>
          <w:trHeight w:val="861"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脊灰减毒活疫苗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脊髓灰质炎</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1</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2</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3</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63"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4</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r>
      <w:tr>
        <w:tblPrEx>
          <w:tblCellMar>
            <w:top w:w="0" w:type="dxa"/>
            <w:left w:w="108" w:type="dxa"/>
            <w:bottom w:w="0" w:type="dxa"/>
            <w:right w:w="108" w:type="dxa"/>
          </w:tblCellMar>
        </w:tblPrEx>
        <w:trPr>
          <w:trHeight w:val="712"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百白破疫苗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百日咳、白喉、破伤风</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1</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2</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3</w:t>
            </w:r>
            <w:r>
              <w:rPr>
                <w:rFonts w:hint="eastAsia" w:ascii="宋体" w:hAnsi="宋体" w:eastAsia="宋体" w:cs="宋体"/>
                <w:sz w:val="18"/>
                <w:szCs w:val="18"/>
              </w:rPr>
              <w:t>剂</w:t>
            </w: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1037" w:type="dxa"/>
            <w:gridSpan w:val="2"/>
            <w:tcBorders>
              <w:top w:val="single" w:color="auto" w:sz="4" w:space="0"/>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4</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r>
      <w:tr>
        <w:tblPrEx>
          <w:tblCellMar>
            <w:top w:w="0" w:type="dxa"/>
            <w:left w:w="108" w:type="dxa"/>
            <w:bottom w:w="0" w:type="dxa"/>
            <w:right w:w="108" w:type="dxa"/>
          </w:tblCellMar>
        </w:tblPrEx>
        <w:trPr>
          <w:trHeight w:val="556"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白破疫苗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白喉、破伤风</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63"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1剂</w:t>
            </w:r>
          </w:p>
        </w:tc>
      </w:tr>
      <w:tr>
        <w:tblPrEx>
          <w:tblCellMar>
            <w:top w:w="0" w:type="dxa"/>
            <w:left w:w="108" w:type="dxa"/>
            <w:bottom w:w="0" w:type="dxa"/>
            <w:right w:w="108" w:type="dxa"/>
          </w:tblCellMar>
        </w:tblPrEx>
        <w:trPr>
          <w:trHeight w:val="890"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麻风</w:t>
            </w:r>
            <w:r>
              <w:rPr>
                <w:rFonts w:hint="eastAsia" w:ascii="宋体" w:hAnsi="宋体" w:eastAsia="宋体" w:cs="Arial"/>
                <w:sz w:val="18"/>
                <w:szCs w:val="18"/>
              </w:rPr>
              <w:t>(</w:t>
            </w:r>
            <w:r>
              <w:rPr>
                <w:rFonts w:hint="eastAsia" w:ascii="宋体" w:hAnsi="宋体" w:eastAsia="宋体" w:cs="宋体"/>
                <w:sz w:val="18"/>
                <w:szCs w:val="18"/>
              </w:rPr>
              <w:t>麻疹</w:t>
            </w:r>
            <w:r>
              <w:rPr>
                <w:rFonts w:hint="eastAsia" w:ascii="宋体" w:hAnsi="宋体" w:eastAsia="宋体" w:cs="Arial"/>
                <w:sz w:val="18"/>
                <w:szCs w:val="18"/>
              </w:rPr>
              <w:t>)</w:t>
            </w:r>
            <w:r>
              <w:rPr>
                <w:rFonts w:hint="eastAsia" w:ascii="宋体" w:hAnsi="宋体" w:eastAsia="宋体" w:cs="宋体"/>
                <w:sz w:val="18"/>
                <w:szCs w:val="18"/>
              </w:rPr>
              <w:t>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Arial"/>
                <w:sz w:val="18"/>
                <w:szCs w:val="18"/>
              </w:rPr>
              <w:t>麻疹、风疹（麻疹）</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1剂</w:t>
            </w:r>
          </w:p>
        </w:tc>
        <w:tc>
          <w:tcPr>
            <w:tcW w:w="563"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r>
      <w:tr>
        <w:tblPrEx>
          <w:tblCellMar>
            <w:top w:w="0" w:type="dxa"/>
            <w:left w:w="108" w:type="dxa"/>
            <w:bottom w:w="0" w:type="dxa"/>
            <w:right w:w="108" w:type="dxa"/>
          </w:tblCellMar>
        </w:tblPrEx>
        <w:trPr>
          <w:trHeight w:val="890"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麻腮风</w:t>
            </w:r>
            <w:r>
              <w:rPr>
                <w:rFonts w:hint="eastAsia" w:ascii="宋体" w:hAnsi="宋体" w:eastAsia="宋体" w:cs="Arial"/>
                <w:sz w:val="18"/>
                <w:szCs w:val="18"/>
              </w:rPr>
              <w:t>(</w:t>
            </w:r>
            <w:r>
              <w:rPr>
                <w:rFonts w:hint="eastAsia" w:ascii="宋体" w:hAnsi="宋体" w:eastAsia="宋体" w:cs="宋体"/>
                <w:sz w:val="18"/>
                <w:szCs w:val="18"/>
              </w:rPr>
              <w:t>麻腮或麻疹</w:t>
            </w:r>
            <w:r>
              <w:rPr>
                <w:rFonts w:hint="eastAsia" w:ascii="宋体" w:hAnsi="宋体" w:eastAsia="宋体" w:cs="Arial"/>
                <w:sz w:val="18"/>
                <w:szCs w:val="18"/>
              </w:rPr>
              <w:t>)</w:t>
            </w:r>
            <w:r>
              <w:rPr>
                <w:rFonts w:hint="eastAsia" w:ascii="宋体" w:hAnsi="宋体" w:eastAsia="宋体" w:cs="宋体"/>
                <w:sz w:val="18"/>
                <w:szCs w:val="18"/>
              </w:rPr>
              <w:t>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Arial"/>
                <w:sz w:val="18"/>
                <w:szCs w:val="18"/>
              </w:rPr>
              <w:t>麻疹、风疹、流行性腮腺炎（麻疹、流行性腮腺炎；麻疹）</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1037" w:type="dxa"/>
            <w:gridSpan w:val="2"/>
            <w:tcBorders>
              <w:top w:val="single" w:color="auto" w:sz="4" w:space="0"/>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1剂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r>
      <w:tr>
        <w:tblPrEx>
          <w:tblCellMar>
            <w:top w:w="0" w:type="dxa"/>
            <w:left w:w="108" w:type="dxa"/>
            <w:bottom w:w="0" w:type="dxa"/>
            <w:right w:w="108" w:type="dxa"/>
          </w:tblCellMar>
        </w:tblPrEx>
        <w:trPr>
          <w:trHeight w:val="861"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乙脑减毒活疫苗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流行性乙型脑炎</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p>
          <w:p>
            <w:pPr>
              <w:spacing w:after="0" w:line="320" w:lineRule="exact"/>
              <w:jc w:val="center"/>
              <w:rPr>
                <w:rFonts w:ascii="宋体" w:hAnsi="宋体" w:eastAsia="宋体" w:cs="Arial"/>
                <w:sz w:val="18"/>
                <w:szCs w:val="18"/>
              </w:rPr>
            </w:pPr>
            <w:r>
              <w:rPr>
                <w:rFonts w:hint="eastAsia" w:ascii="宋体" w:hAnsi="宋体" w:eastAsia="宋体" w:cs="Arial"/>
                <w:sz w:val="18"/>
                <w:szCs w:val="18"/>
              </w:rPr>
              <w:t>1</w:t>
            </w:r>
          </w:p>
          <w:p>
            <w:pPr>
              <w:spacing w:after="0" w:line="320" w:lineRule="exact"/>
              <w:jc w:val="center"/>
              <w:rPr>
                <w:rFonts w:ascii="宋体" w:hAnsi="宋体" w:eastAsia="宋体" w:cs="宋体"/>
                <w:sz w:val="18"/>
                <w:szCs w:val="18"/>
              </w:rPr>
            </w:pPr>
            <w:r>
              <w:rPr>
                <w:rFonts w:hint="eastAsia" w:ascii="宋体" w:hAnsi="宋体" w:eastAsia="宋体" w:cs="宋体"/>
                <w:sz w:val="18"/>
                <w:szCs w:val="18"/>
              </w:rPr>
              <w:t>剂</w:t>
            </w:r>
          </w:p>
        </w:tc>
        <w:tc>
          <w:tcPr>
            <w:tcW w:w="563"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2</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r>
      <w:tr>
        <w:tblPrEx>
          <w:tblCellMar>
            <w:top w:w="0" w:type="dxa"/>
            <w:left w:w="108" w:type="dxa"/>
            <w:bottom w:w="0" w:type="dxa"/>
            <w:right w:w="108" w:type="dxa"/>
          </w:tblCellMar>
        </w:tblPrEx>
        <w:trPr>
          <w:trHeight w:val="890"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Arial"/>
                <w:sz w:val="18"/>
                <w:szCs w:val="18"/>
              </w:rPr>
            </w:pPr>
            <w:r>
              <w:rPr>
                <w:rFonts w:hint="eastAsia" w:ascii="宋体" w:hAnsi="宋体" w:eastAsia="宋体" w:cs="Arial"/>
                <w:sz w:val="18"/>
                <w:szCs w:val="18"/>
              </w:rPr>
              <w:t>A群流脑多糖疫苗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Arial"/>
                <w:sz w:val="18"/>
                <w:szCs w:val="18"/>
              </w:rPr>
            </w:pPr>
            <w:r>
              <w:rPr>
                <w:rFonts w:ascii="宋体" w:hAnsi="宋体" w:eastAsia="宋体" w:cs="宋体"/>
                <w:sz w:val="18"/>
                <w:szCs w:val="18"/>
              </w:rPr>
              <w:t>A</w:t>
            </w:r>
            <w:r>
              <w:rPr>
                <w:rFonts w:hint="eastAsia" w:ascii="宋体" w:hAnsi="宋体" w:eastAsia="宋体" w:cs="宋体"/>
                <w:sz w:val="18"/>
                <w:szCs w:val="18"/>
              </w:rPr>
              <w:t>群脑膜炎奈瑟菌引起的流行性脑脊髓膜炎</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1655" w:type="dxa"/>
            <w:gridSpan w:val="3"/>
            <w:tcBorders>
              <w:top w:val="single" w:color="auto" w:sz="4" w:space="0"/>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接种</w:t>
            </w:r>
            <w:r>
              <w:rPr>
                <w:rFonts w:hint="eastAsia" w:ascii="宋体" w:hAnsi="宋体" w:eastAsia="宋体" w:cs="Arial"/>
                <w:sz w:val="18"/>
                <w:szCs w:val="18"/>
              </w:rPr>
              <w:t>2</w:t>
            </w:r>
            <w:r>
              <w:rPr>
                <w:rFonts w:hint="eastAsia" w:ascii="宋体" w:hAnsi="宋体" w:eastAsia="宋体" w:cs="宋体"/>
                <w:sz w:val="18"/>
                <w:szCs w:val="18"/>
              </w:rPr>
              <w:t>剂次，第</w:t>
            </w:r>
            <w:r>
              <w:rPr>
                <w:rFonts w:hint="eastAsia" w:ascii="宋体" w:hAnsi="宋体" w:eastAsia="宋体" w:cs="Arial"/>
                <w:sz w:val="18"/>
                <w:szCs w:val="18"/>
              </w:rPr>
              <w:t>1</w:t>
            </w:r>
            <w:r>
              <w:rPr>
                <w:rFonts w:hint="eastAsia" w:ascii="宋体" w:hAnsi="宋体" w:eastAsia="宋体" w:cs="宋体"/>
                <w:sz w:val="18"/>
                <w:szCs w:val="18"/>
              </w:rPr>
              <w:t>、</w:t>
            </w:r>
            <w:r>
              <w:rPr>
                <w:rFonts w:hint="eastAsia" w:ascii="宋体" w:hAnsi="宋体" w:eastAsia="宋体" w:cs="Arial"/>
                <w:sz w:val="18"/>
                <w:szCs w:val="18"/>
              </w:rPr>
              <w:t>2</w:t>
            </w:r>
            <w:r>
              <w:rPr>
                <w:rFonts w:hint="eastAsia" w:ascii="宋体" w:hAnsi="宋体" w:eastAsia="宋体" w:cs="宋体"/>
                <w:sz w:val="18"/>
                <w:szCs w:val="18"/>
              </w:rPr>
              <w:t>剂次间隔</w:t>
            </w:r>
            <w:r>
              <w:rPr>
                <w:rFonts w:hint="eastAsia" w:ascii="宋体" w:hAnsi="宋体" w:eastAsia="宋体" w:cs="Arial"/>
                <w:sz w:val="18"/>
                <w:szCs w:val="18"/>
              </w:rPr>
              <w:t>3</w:t>
            </w:r>
            <w:r>
              <w:rPr>
                <w:rFonts w:hint="eastAsia" w:ascii="宋体" w:hAnsi="宋体" w:eastAsia="宋体" w:cs="宋体"/>
                <w:sz w:val="18"/>
                <w:szCs w:val="18"/>
              </w:rPr>
              <w:t>个月。</w:t>
            </w: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r>
      <w:tr>
        <w:tblPrEx>
          <w:tblCellMar>
            <w:top w:w="0" w:type="dxa"/>
            <w:left w:w="108" w:type="dxa"/>
            <w:bottom w:w="0" w:type="dxa"/>
            <w:right w:w="108" w:type="dxa"/>
          </w:tblCellMar>
        </w:tblPrEx>
        <w:trPr>
          <w:trHeight w:val="890"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Arial"/>
                <w:sz w:val="18"/>
                <w:szCs w:val="18"/>
              </w:rPr>
            </w:pPr>
            <w:r>
              <w:rPr>
                <w:rFonts w:hint="eastAsia" w:ascii="宋体" w:hAnsi="宋体" w:eastAsia="宋体" w:cs="Arial"/>
                <w:sz w:val="18"/>
                <w:szCs w:val="18"/>
              </w:rPr>
              <w:t>A+C群流脑多糖疫苗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Arial"/>
                <w:sz w:val="18"/>
                <w:szCs w:val="18"/>
              </w:rPr>
            </w:pPr>
            <w:r>
              <w:rPr>
                <w:rFonts w:ascii="宋体" w:hAnsi="宋体" w:eastAsia="宋体" w:cs="宋体"/>
                <w:sz w:val="18"/>
                <w:szCs w:val="18"/>
              </w:rPr>
              <w:t>A</w:t>
            </w:r>
            <w:r>
              <w:rPr>
                <w:rFonts w:hint="eastAsia" w:ascii="宋体" w:hAnsi="宋体" w:eastAsia="宋体" w:cs="宋体"/>
                <w:sz w:val="18"/>
                <w:szCs w:val="18"/>
              </w:rPr>
              <w:t>群及</w:t>
            </w:r>
            <w:r>
              <w:rPr>
                <w:rFonts w:ascii="宋体" w:hAnsi="宋体" w:eastAsia="宋体" w:cs="宋体"/>
                <w:sz w:val="18"/>
                <w:szCs w:val="18"/>
              </w:rPr>
              <w:t>C</w:t>
            </w:r>
            <w:r>
              <w:rPr>
                <w:rFonts w:hint="eastAsia" w:ascii="宋体" w:hAnsi="宋体" w:eastAsia="宋体" w:cs="宋体"/>
                <w:sz w:val="18"/>
                <w:szCs w:val="18"/>
              </w:rPr>
              <w:t>群脑膜炎奈瑟菌引起的流行性脑脊髓膜炎</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63"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1</w:t>
            </w:r>
            <w:r>
              <w:rPr>
                <w:rFonts w:hint="eastAsia" w:ascii="宋体" w:hAnsi="宋体" w:eastAsia="宋体" w:cs="宋体"/>
                <w:sz w:val="18"/>
                <w:szCs w:val="18"/>
              </w:rPr>
              <w:t>剂</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Arial"/>
                <w:sz w:val="18"/>
                <w:szCs w:val="18"/>
              </w:rPr>
              <w:t>2</w:t>
            </w:r>
            <w:r>
              <w:rPr>
                <w:rFonts w:hint="eastAsia" w:ascii="宋体" w:hAnsi="宋体" w:eastAsia="宋体" w:cs="宋体"/>
                <w:sz w:val="18"/>
                <w:szCs w:val="18"/>
              </w:rPr>
              <w:t>剂</w:t>
            </w:r>
          </w:p>
        </w:tc>
      </w:tr>
      <w:tr>
        <w:tblPrEx>
          <w:tblCellMar>
            <w:top w:w="0" w:type="dxa"/>
            <w:left w:w="108" w:type="dxa"/>
            <w:bottom w:w="0" w:type="dxa"/>
            <w:right w:w="108" w:type="dxa"/>
          </w:tblCellMar>
        </w:tblPrEx>
        <w:trPr>
          <w:trHeight w:val="861" w:hRule="atLeast"/>
          <w:tblHeader/>
        </w:trPr>
        <w:tc>
          <w:tcPr>
            <w:tcW w:w="895"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宋体"/>
                <w:sz w:val="18"/>
                <w:szCs w:val="18"/>
              </w:rPr>
              <w:t>甲肝减毒活疫苗</w:t>
            </w:r>
          </w:p>
        </w:tc>
        <w:tc>
          <w:tcPr>
            <w:tcW w:w="1664" w:type="dxa"/>
            <w:tcBorders>
              <w:top w:val="nil"/>
              <w:left w:val="single" w:color="auto" w:sz="4" w:space="0"/>
              <w:bottom w:val="single" w:color="auto" w:sz="4" w:space="0"/>
              <w:right w:val="single" w:color="auto" w:sz="4" w:space="0"/>
            </w:tcBorders>
            <w:noWrap w:val="0"/>
            <w:vAlign w:val="center"/>
          </w:tcPr>
          <w:p>
            <w:pPr>
              <w:spacing w:after="0" w:line="320" w:lineRule="exact"/>
              <w:rPr>
                <w:rFonts w:ascii="宋体" w:hAnsi="宋体" w:eastAsia="宋体" w:cs="宋体"/>
                <w:sz w:val="18"/>
                <w:szCs w:val="18"/>
              </w:rPr>
            </w:pPr>
            <w:r>
              <w:rPr>
                <w:rFonts w:hint="eastAsia" w:ascii="宋体" w:hAnsi="宋体" w:eastAsia="宋体" w:cs="Arial"/>
                <w:sz w:val="18"/>
                <w:szCs w:val="18"/>
              </w:rPr>
              <w:t>甲型病毒性肝炎</w:t>
            </w: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46"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563"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r>
              <w:rPr>
                <w:rFonts w:hint="eastAsia" w:ascii="宋体" w:hAnsi="宋体" w:eastAsia="宋体" w:cs="Arial"/>
                <w:sz w:val="18"/>
                <w:szCs w:val="18"/>
              </w:rPr>
              <w:t>1剂</w:t>
            </w:r>
          </w:p>
        </w:tc>
        <w:tc>
          <w:tcPr>
            <w:tcW w:w="474"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c>
          <w:tcPr>
            <w:tcW w:w="462" w:type="dxa"/>
            <w:tcBorders>
              <w:top w:val="nil"/>
              <w:left w:val="nil"/>
              <w:bottom w:val="single" w:color="auto" w:sz="4" w:space="0"/>
              <w:right w:val="single" w:color="auto" w:sz="4" w:space="0"/>
            </w:tcBorders>
            <w:noWrap w:val="0"/>
            <w:vAlign w:val="center"/>
          </w:tcPr>
          <w:p>
            <w:pPr>
              <w:spacing w:after="0" w:line="320" w:lineRule="exact"/>
              <w:jc w:val="center"/>
              <w:rPr>
                <w:rFonts w:ascii="宋体" w:hAnsi="宋体" w:eastAsia="宋体" w:cs="Arial"/>
                <w:sz w:val="18"/>
                <w:szCs w:val="18"/>
              </w:rPr>
            </w:pPr>
          </w:p>
        </w:tc>
      </w:tr>
    </w:tbl>
    <w:p>
      <w:pPr>
        <w:keepNext w:val="0"/>
        <w:keepLines w:val="0"/>
        <w:pageBreakBefore w:val="0"/>
        <w:widowControl/>
        <w:kinsoku/>
        <w:wordWrap/>
        <w:overflowPunct/>
        <w:topLinePunct w:val="0"/>
        <w:autoSpaceDE/>
        <w:autoSpaceDN/>
        <w:bidi w:val="0"/>
        <w:adjustRightInd w:val="0"/>
        <w:snapToGrid w:val="0"/>
        <w:spacing w:line="560" w:lineRule="exact"/>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47394"/>
    <w:rsid w:val="25747394"/>
    <w:rsid w:val="52A10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2022-11-30T03:37:00Z</dcterms:created>
  <dc:creator>0303</dc:creator>
  <cp:lastModifiedBy>0303</cp:lastModifiedBy>
  <dcterms:modified xsi:type="dcterms:W3CDTF">2022-12-20T11:55:01Z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DD73A37A544340E2B794478BDC0403B8</vt:lpwstr>
  </property>
</Properties>
</file>