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eastAsia="zh-CN"/>
        </w:rPr>
      </w:pPr>
      <w:r>
        <w:rPr>
          <w:rFonts w:hint="eastAsia"/>
          <w:sz w:val="28"/>
          <w:szCs w:val="28"/>
          <w:lang w:eastAsia="zh-CN"/>
        </w:rPr>
        <w:t>附件</w:t>
      </w:r>
      <w:r>
        <w:rPr>
          <w:rFonts w:hint="eastAsia"/>
          <w:sz w:val="28"/>
          <w:szCs w:val="28"/>
          <w:lang w:val="en-US" w:eastAsia="zh-CN"/>
        </w:rPr>
        <w:t>4</w:t>
      </w:r>
      <w:r>
        <w:rPr>
          <w:rFonts w:hint="eastAsia"/>
          <w:sz w:val="28"/>
          <w:szCs w:val="28"/>
          <w:lang w:eastAsia="zh-CN"/>
        </w:rPr>
        <w:t>:</w:t>
      </w:r>
    </w:p>
    <w:p>
      <w:pPr>
        <w:rPr>
          <w:rFonts w:hint="eastAsia"/>
          <w:sz w:val="28"/>
          <w:szCs w:val="28"/>
          <w:lang w:eastAsia="zh-CN"/>
        </w:rPr>
      </w:pPr>
    </w:p>
    <w:p>
      <w:pPr>
        <w:jc w:val="center"/>
        <w:rPr>
          <w:rFonts w:hint="eastAsia" w:ascii="仿宋_GB2312" w:hAnsi="仿宋_GB2312" w:eastAsia="仿宋_GB2312" w:cs="仿宋_GB2312"/>
          <w:sz w:val="44"/>
          <w:szCs w:val="44"/>
          <w:lang w:val="en-US" w:eastAsia="zh-CN"/>
        </w:rPr>
      </w:pPr>
      <w:r>
        <w:rPr>
          <w:rFonts w:hint="eastAsia" w:hAnsi="仿宋_GB2312" w:cs="仿宋_GB2312"/>
          <w:sz w:val="44"/>
          <w:szCs w:val="44"/>
          <w:lang w:val="en-US" w:eastAsia="zh-CN"/>
        </w:rPr>
        <w:t>2021年社保局网络线路及机房维护项目绩效自评报告</w:t>
      </w:r>
    </w:p>
    <w:p>
      <w:pPr>
        <w:numPr>
          <w:ilvl w:val="0"/>
          <w:numId w:val="1"/>
        </w:numPr>
        <w:ind w:firstLine="640" w:firstLineChars="200"/>
        <w:rPr>
          <w:rFonts w:hint="eastAsia" w:hAnsi="仿宋_GB2312" w:cs="仿宋_GB2312"/>
          <w:sz w:val="32"/>
          <w:szCs w:val="32"/>
          <w:lang w:eastAsia="zh-CN"/>
        </w:rPr>
      </w:pP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概括</w:t>
      </w:r>
    </w:p>
    <w:p>
      <w:pPr>
        <w:numPr>
          <w:ilvl w:val="0"/>
          <w:numId w:val="0"/>
        </w:numPr>
        <w:ind w:firstLine="640" w:firstLineChars="200"/>
        <w:rPr>
          <w:rFonts w:hint="eastAsia" w:hAnsi="仿宋_GB2312" w:cs="仿宋_GB2312"/>
          <w:sz w:val="32"/>
          <w:szCs w:val="32"/>
          <w:lang w:eastAsia="zh-CN"/>
        </w:rPr>
      </w:pPr>
      <w:r>
        <w:rPr>
          <w:rFonts w:hint="eastAsia" w:hAnsi="仿宋_GB2312" w:cs="仿宋_GB2312"/>
          <w:sz w:val="32"/>
          <w:szCs w:val="32"/>
          <w:lang w:val="en-US" w:eastAsia="zh-CN"/>
        </w:rPr>
        <w:t>（一）</w:t>
      </w:r>
      <w:r>
        <w:rPr>
          <w:rFonts w:hint="eastAsia" w:ascii="仿宋_GB2312" w:hAnsi="仿宋_GB2312" w:eastAsia="仿宋_GB2312" w:cs="仿宋_GB2312"/>
          <w:sz w:val="32"/>
          <w:szCs w:val="32"/>
        </w:rPr>
        <w:t>项目基本情况</w:t>
      </w:r>
      <w:r>
        <w:rPr>
          <w:rFonts w:hint="eastAsia" w:hAnsi="仿宋_GB2312" w:cs="仿宋_GB2312"/>
          <w:sz w:val="32"/>
          <w:szCs w:val="32"/>
          <w:lang w:eastAsia="zh-CN"/>
        </w:rPr>
        <w:t>。</w:t>
      </w:r>
    </w:p>
    <w:p>
      <w:pPr>
        <w:numPr>
          <w:ilvl w:val="0"/>
          <w:numId w:val="0"/>
        </w:numPr>
        <w:ind w:firstLine="640" w:firstLineChars="200"/>
        <w:rPr>
          <w:rFonts w:hint="eastAsia" w:hAnsi="仿宋_GB2312" w:cs="仿宋_GB2312"/>
          <w:sz w:val="32"/>
          <w:szCs w:val="32"/>
          <w:lang w:val="en-US" w:eastAsia="zh-CN"/>
        </w:rPr>
      </w:pPr>
      <w:r>
        <w:rPr>
          <w:rFonts w:hint="eastAsia" w:hAnsi="仿宋_GB2312" w:cs="仿宋_GB2312"/>
          <w:sz w:val="32"/>
          <w:szCs w:val="32"/>
          <w:lang w:val="en-US" w:eastAsia="zh-CN"/>
        </w:rPr>
        <w:t>根据《潮州市上线应用省集中式社会保险息系统工作方案》、《关于进一步加强电子政务外网网络安全防护的通知》、《关于做好“数字政府”公共财政综合管理平台上线前期准备工作的通知》、《广东省医疗保障局办公室中共广东省委网络安全和信息化委员会办公室关于开展医保数据安全专项检查的通知》</w:t>
      </w:r>
      <w:r>
        <w:rPr>
          <w:rFonts w:hint="eastAsia" w:hAnsi="仿宋_GB2312" w:cs="仿宋_GB2312"/>
          <w:sz w:val="32"/>
          <w:szCs w:val="32"/>
          <w:lang w:val="en-US" w:eastAsia="zh-CN"/>
        </w:rPr>
        <w:t>等文件精神，按照市局要求，为确保社保业务系统正常运行，需备用移动及电信、医保专线三条线路，以及做好日常网络信息、计算机、机房的维护。</w:t>
      </w:r>
    </w:p>
    <w:p>
      <w:pPr>
        <w:numPr>
          <w:ilvl w:val="0"/>
          <w:numId w:val="0"/>
        </w:numPr>
        <w:ind w:firstLine="640" w:firstLineChars="200"/>
        <w:rPr>
          <w:rFonts w:hint="eastAsia" w:ascii="仿宋_GB2312" w:hAnsi="仿宋_GB2312" w:eastAsia="仿宋_GB2312" w:cs="仿宋_GB2312"/>
          <w:sz w:val="32"/>
          <w:szCs w:val="32"/>
        </w:rPr>
      </w:pPr>
      <w:r>
        <w:rPr>
          <w:rFonts w:hint="eastAsia" w:hAnsi="仿宋_GB2312" w:cs="仿宋_GB2312"/>
          <w:sz w:val="32"/>
          <w:szCs w:val="32"/>
          <w:lang w:val="en-US" w:eastAsia="zh-CN"/>
        </w:rPr>
        <w:t>（二）</w:t>
      </w:r>
      <w:r>
        <w:rPr>
          <w:rFonts w:hint="eastAsia" w:ascii="仿宋_GB2312" w:hAnsi="仿宋_GB2312" w:eastAsia="仿宋_GB2312" w:cs="仿宋_GB2312"/>
          <w:sz w:val="32"/>
          <w:szCs w:val="32"/>
        </w:rPr>
        <w:t>项目绩效总目标及</w:t>
      </w:r>
      <w:r>
        <w:rPr>
          <w:rFonts w:hint="eastAsia" w:ascii="仿宋_GB2312" w:hAnsi="仿宋_GB2312" w:eastAsia="仿宋_GB2312" w:cs="仿宋_GB2312"/>
          <w:sz w:val="32"/>
          <w:szCs w:val="32"/>
          <w:lang w:val="en-US" w:eastAsia="zh-CN"/>
        </w:rPr>
        <w:t>年度</w:t>
      </w:r>
      <w:r>
        <w:rPr>
          <w:rFonts w:hint="eastAsia" w:ascii="仿宋_GB2312" w:hAnsi="仿宋_GB2312" w:eastAsia="仿宋_GB2312" w:cs="仿宋_GB2312"/>
          <w:sz w:val="32"/>
          <w:szCs w:val="32"/>
        </w:rPr>
        <w:t>绩效目标。</w:t>
      </w:r>
    </w:p>
    <w:p>
      <w:pPr>
        <w:numPr>
          <w:ilvl w:val="0"/>
          <w:numId w:val="0"/>
        </w:numPr>
        <w:ind w:firstLine="640" w:firstLineChars="200"/>
        <w:rPr>
          <w:rFonts w:hint="eastAsia" w:hAnsi="仿宋_GB2312" w:cs="仿宋_GB2312"/>
          <w:sz w:val="32"/>
          <w:szCs w:val="32"/>
          <w:lang w:val="en-US" w:eastAsia="zh-CN"/>
        </w:rPr>
      </w:pPr>
      <w:r>
        <w:rPr>
          <w:rFonts w:hint="eastAsia" w:hAnsi="仿宋_GB2312" w:cs="仿宋_GB2312"/>
          <w:sz w:val="32"/>
          <w:szCs w:val="32"/>
          <w:lang w:val="en-US" w:eastAsia="zh-CN"/>
        </w:rPr>
        <w:t>根据文件规定需备用移动、电信及医保专线三条线路，做好日常网络信息、计算机、机房的维护，保证网络运行稳定，故障处理及时，确保社保各项业务正常运行。</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二、项目</w:t>
      </w:r>
      <w:r>
        <w:rPr>
          <w:rFonts w:hint="eastAsia" w:ascii="仿宋_GB2312" w:hAnsi="仿宋_GB2312" w:eastAsia="仿宋_GB2312" w:cs="仿宋_GB2312"/>
          <w:sz w:val="32"/>
          <w:szCs w:val="32"/>
          <w:lang w:val="en-US" w:eastAsia="zh-CN"/>
        </w:rPr>
        <w:t>资金</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val="en-US" w:eastAsia="zh-CN"/>
        </w:rPr>
        <w:t>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项目资金到位情况。</w:t>
      </w:r>
    </w:p>
    <w:p>
      <w:pPr>
        <w:ind w:firstLine="640" w:firstLineChars="200"/>
        <w:rPr>
          <w:rFonts w:hint="eastAsia" w:ascii="仿宋" w:hAnsi="仿宋" w:eastAsia="仿宋"/>
          <w:sz w:val="32"/>
        </w:rPr>
      </w:pPr>
      <w:r>
        <w:rPr>
          <w:rFonts w:hint="eastAsia" w:ascii="仿宋" w:hAnsi="仿宋" w:eastAsia="仿宋"/>
          <w:sz w:val="32"/>
        </w:rPr>
        <w:t>该项目年初预算</w:t>
      </w:r>
      <w:r>
        <w:rPr>
          <w:rFonts w:hint="eastAsia" w:ascii="仿宋" w:hAnsi="仿宋" w:eastAsia="仿宋"/>
          <w:sz w:val="32"/>
          <w:lang w:val="en-US" w:eastAsia="zh-CN"/>
        </w:rPr>
        <w:t>60000</w:t>
      </w:r>
      <w:r>
        <w:rPr>
          <w:rFonts w:hint="eastAsia" w:ascii="仿宋" w:hAnsi="仿宋" w:eastAsia="仿宋"/>
          <w:sz w:val="32"/>
        </w:rPr>
        <w:t>元，</w:t>
      </w:r>
      <w:r>
        <w:rPr>
          <w:rFonts w:hint="eastAsia" w:ascii="仿宋" w:hAnsi="仿宋" w:eastAsia="仿宋"/>
          <w:sz w:val="32"/>
          <w:lang w:eastAsia="zh-CN"/>
        </w:rPr>
        <w:t>2021年</w:t>
      </w:r>
      <w:r>
        <w:rPr>
          <w:rFonts w:hint="eastAsia" w:ascii="仿宋" w:hAnsi="仿宋" w:eastAsia="仿宋"/>
          <w:sz w:val="32"/>
          <w:lang w:val="en-US" w:eastAsia="zh-CN"/>
        </w:rPr>
        <w:t>度</w:t>
      </w:r>
      <w:r>
        <w:rPr>
          <w:rFonts w:hint="eastAsia" w:ascii="仿宋" w:hAnsi="仿宋" w:eastAsia="仿宋"/>
          <w:sz w:val="32"/>
        </w:rPr>
        <w:t>县财政部门下拨我</w:t>
      </w:r>
      <w:r>
        <w:rPr>
          <w:rFonts w:hint="eastAsia" w:ascii="仿宋" w:hAnsi="仿宋" w:eastAsia="仿宋"/>
          <w:sz w:val="32"/>
          <w:lang w:val="en-US" w:eastAsia="zh-CN"/>
        </w:rPr>
        <w:t>局共60000</w:t>
      </w:r>
      <w:r>
        <w:rPr>
          <w:rFonts w:hint="eastAsia" w:ascii="仿宋" w:hAnsi="仿宋" w:eastAsia="仿宋"/>
          <w:sz w:val="32"/>
        </w:rPr>
        <w:t>元，</w:t>
      </w:r>
      <w:r>
        <w:rPr>
          <w:rFonts w:hint="eastAsia" w:ascii="仿宋" w:hAnsi="仿宋" w:eastAsia="仿宋"/>
          <w:sz w:val="32"/>
          <w:lang w:eastAsia="zh-CN"/>
        </w:rPr>
        <w:t>资金</w:t>
      </w:r>
      <w:r>
        <w:rPr>
          <w:rFonts w:hint="eastAsia" w:ascii="仿宋" w:hAnsi="仿宋" w:eastAsia="仿宋"/>
          <w:sz w:val="32"/>
        </w:rPr>
        <w:t>到位率</w:t>
      </w:r>
      <w:r>
        <w:rPr>
          <w:rFonts w:hint="eastAsia" w:ascii="仿宋" w:hAnsi="仿宋" w:eastAsia="仿宋"/>
          <w:sz w:val="32"/>
          <w:lang w:val="en-US" w:eastAsia="zh-CN"/>
        </w:rPr>
        <w:t>100</w:t>
      </w:r>
      <w:r>
        <w:rPr>
          <w:rFonts w:hint="eastAsia" w:ascii="仿宋" w:hAnsi="仿宋" w:eastAsia="仿宋"/>
          <w:sz w:val="32"/>
        </w:rPr>
        <w:t>%。</w:t>
      </w:r>
    </w:p>
    <w:p>
      <w:pPr>
        <w:numPr>
          <w:ilvl w:val="0"/>
          <w:numId w:val="2"/>
        </w:numPr>
        <w:ind w:firstLine="640" w:firstLineChars="200"/>
        <w:rPr>
          <w:rFonts w:hint="eastAsia" w:hAnsi="仿宋_GB2312" w:cs="仿宋_GB2312"/>
          <w:sz w:val="32"/>
          <w:szCs w:val="32"/>
          <w:lang w:val="en-US" w:eastAsia="zh-CN"/>
        </w:rPr>
      </w:pPr>
      <w:r>
        <w:rPr>
          <w:rFonts w:hint="eastAsia" w:ascii="仿宋_GB2312" w:hAnsi="仿宋_GB2312" w:eastAsia="仿宋_GB2312" w:cs="仿宋_GB2312"/>
          <w:sz w:val="32"/>
          <w:szCs w:val="32"/>
          <w:lang w:val="en-US" w:eastAsia="zh-CN"/>
        </w:rPr>
        <w:t>项目资金实际使用管理情</w:t>
      </w:r>
      <w:r>
        <w:rPr>
          <w:rFonts w:hint="eastAsia" w:hAnsi="仿宋_GB2312" w:cs="仿宋_GB2312"/>
          <w:sz w:val="32"/>
          <w:szCs w:val="32"/>
          <w:lang w:val="en-US" w:eastAsia="zh-CN"/>
        </w:rPr>
        <w:t>况。</w:t>
      </w:r>
    </w:p>
    <w:p>
      <w:pPr>
        <w:numPr>
          <w:ilvl w:val="0"/>
          <w:numId w:val="0"/>
        </w:numPr>
        <w:rPr>
          <w:rFonts w:hint="eastAsia" w:hAnsi="仿宋_GB2312" w:cs="仿宋_GB2312"/>
          <w:sz w:val="32"/>
          <w:szCs w:val="32"/>
          <w:lang w:val="en-US" w:eastAsia="zh-CN"/>
        </w:rPr>
      </w:pPr>
      <w:r>
        <w:rPr>
          <w:rFonts w:hint="eastAsia" w:hAnsi="仿宋_GB2312" w:cs="仿宋_GB2312"/>
          <w:sz w:val="32"/>
          <w:szCs w:val="32"/>
          <w:lang w:val="en-US" w:eastAsia="zh-CN"/>
        </w:rPr>
        <w:t xml:space="preserve">    我局将该项目资金全额用于支付社保办公业务所需的电信移动服务费及计算机、机房的日常维护。</w:t>
      </w:r>
    </w:p>
    <w:p>
      <w:pPr>
        <w:numPr>
          <w:ilvl w:val="0"/>
          <w:numId w:val="2"/>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资金管理情况</w:t>
      </w:r>
    </w:p>
    <w:p>
      <w:pPr>
        <w:numPr>
          <w:ilvl w:val="0"/>
          <w:numId w:val="0"/>
        </w:numPr>
        <w:ind w:leftChars="20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我局对“</w:t>
      </w:r>
      <w:r>
        <w:rPr>
          <w:rFonts w:hint="eastAsia" w:hAnsi="仿宋_GB2312" w:cs="仿宋_GB2312"/>
          <w:sz w:val="32"/>
          <w:szCs w:val="32"/>
          <w:lang w:val="en-US" w:eastAsia="zh-CN"/>
        </w:rPr>
        <w:t>网络线路及机房维护”</w:t>
      </w:r>
      <w:r>
        <w:rPr>
          <w:rFonts w:hint="eastAsia" w:ascii="仿宋_GB2312" w:hAnsi="仿宋_GB2312" w:eastAsia="仿宋_GB2312" w:cs="仿宋_GB2312"/>
          <w:sz w:val="32"/>
          <w:szCs w:val="32"/>
          <w:lang w:val="en-US" w:eastAsia="zh-CN"/>
        </w:rPr>
        <w:t>资金按相应拨款文件要求列入相应公共</w:t>
      </w:r>
      <w:r>
        <w:rPr>
          <w:rFonts w:hint="eastAsia" w:hAnsi="仿宋_GB2312" w:cs="仿宋_GB2312"/>
          <w:sz w:val="32"/>
          <w:szCs w:val="32"/>
          <w:lang w:val="en-US" w:eastAsia="zh-CN"/>
        </w:rPr>
        <w:t>财政</w:t>
      </w:r>
      <w:r>
        <w:rPr>
          <w:rFonts w:hint="eastAsia" w:ascii="仿宋_GB2312" w:hAnsi="仿宋_GB2312" w:eastAsia="仿宋_GB2312" w:cs="仿宋_GB2312"/>
          <w:sz w:val="32"/>
          <w:szCs w:val="32"/>
          <w:lang w:val="en-US" w:eastAsia="zh-CN"/>
        </w:rPr>
        <w:t>预算支出功能科目管理，该</w:t>
      </w:r>
      <w:r>
        <w:rPr>
          <w:rFonts w:hint="eastAsia" w:hAnsi="仿宋_GB2312" w:cs="仿宋_GB2312"/>
          <w:sz w:val="32"/>
          <w:szCs w:val="32"/>
          <w:lang w:val="en-US" w:eastAsia="zh-CN"/>
        </w:rPr>
        <w:t>项目</w:t>
      </w:r>
      <w:r>
        <w:rPr>
          <w:rFonts w:hint="eastAsia" w:ascii="仿宋_GB2312" w:hAnsi="仿宋_GB2312" w:eastAsia="仿宋_GB2312" w:cs="仿宋_GB2312"/>
          <w:sz w:val="32"/>
          <w:szCs w:val="32"/>
          <w:lang w:val="en-US" w:eastAsia="zh-CN"/>
        </w:rPr>
        <w:t>资金拨付到我局后，列入“社会保险经办机构”功能科目核算，严格按照《政府会计制度》、《饶平县社会保险基金管理局政府采购内控管理制度》、《饶平县社保局有关费用管理制度》等制</w:t>
      </w:r>
      <w:r>
        <w:rPr>
          <w:rFonts w:hint="eastAsia" w:hAnsi="仿宋_GB2312" w:cs="仿宋_GB2312"/>
          <w:sz w:val="32"/>
          <w:szCs w:val="32"/>
          <w:lang w:val="en-US" w:eastAsia="zh-CN"/>
        </w:rPr>
        <w:t>度执行，</w:t>
      </w:r>
      <w:r>
        <w:rPr>
          <w:rFonts w:hint="eastAsia" w:ascii="仿宋" w:hAnsi="仿宋" w:eastAsia="仿宋"/>
          <w:sz w:val="32"/>
        </w:rPr>
        <w:t>项目资金</w:t>
      </w:r>
      <w:r>
        <w:rPr>
          <w:rFonts w:hint="eastAsia" w:ascii="仿宋" w:hAnsi="仿宋" w:eastAsia="仿宋"/>
          <w:sz w:val="32"/>
          <w:lang w:val="en-US" w:eastAsia="zh-CN"/>
        </w:rPr>
        <w:t>专款专用</w:t>
      </w:r>
      <w:r>
        <w:rPr>
          <w:rFonts w:hint="eastAsia" w:ascii="仿宋" w:hAnsi="仿宋" w:eastAsia="仿宋"/>
          <w:sz w:val="32"/>
        </w:rPr>
        <w:t>，支出凭证合法有效，会计核算规范，不存在虚列项目支出、截留、挤占、挪用项目资金，超标准开支等情况。</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三、项目实施管理情况</w:t>
      </w:r>
    </w:p>
    <w:p>
      <w:pPr>
        <w:ind w:firstLine="640" w:firstLineChars="200"/>
        <w:rPr>
          <w:rFonts w:hint="eastAsia" w:hAnsi="仿宋_GB2312" w:cs="仿宋_GB2312"/>
          <w:sz w:val="32"/>
          <w:szCs w:val="32"/>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项目实施情况</w:t>
      </w:r>
      <w:r>
        <w:rPr>
          <w:rFonts w:hint="eastAsia" w:hAnsi="仿宋_GB2312" w:cs="仿宋_GB2312"/>
          <w:sz w:val="32"/>
          <w:szCs w:val="32"/>
          <w:lang w:val="en-US" w:eastAsia="zh-CN"/>
        </w:rPr>
        <w:t>。</w:t>
      </w:r>
    </w:p>
    <w:p>
      <w:pPr>
        <w:numPr>
          <w:ilvl w:val="0"/>
          <w:numId w:val="0"/>
        </w:numPr>
        <w:ind w:firstLine="640" w:firstLineChars="200"/>
        <w:rPr>
          <w:rFonts w:hint="eastAsia" w:hAnsi="仿宋_GB2312" w:cs="仿宋_GB2312"/>
          <w:sz w:val="32"/>
          <w:szCs w:val="32"/>
          <w:lang w:val="en-US" w:eastAsia="zh-CN"/>
        </w:rPr>
      </w:pPr>
      <w:r>
        <w:rPr>
          <w:rFonts w:hint="eastAsia" w:hAnsi="仿宋_GB2312" w:cs="仿宋_GB2312"/>
          <w:sz w:val="32"/>
          <w:szCs w:val="32"/>
          <w:lang w:val="en-US" w:eastAsia="zh-CN"/>
        </w:rPr>
        <w:t>根据文件规定需备用移动、电信及医保专线三条线路，做好日常网络信息、计算机、机房的维护，保证网络运行稳定，故障处理及时，确保社保各项业务正常运行。</w:t>
      </w:r>
    </w:p>
    <w:p>
      <w:pPr>
        <w:numPr>
          <w:ilvl w:val="0"/>
          <w:numId w:val="3"/>
        </w:numPr>
        <w:ind w:firstLine="640" w:firstLineChars="200"/>
        <w:rPr>
          <w:rFonts w:hint="eastAsia" w:ascii="仿宋" w:hAnsi="仿宋" w:eastAsia="仿宋"/>
          <w:sz w:val="32"/>
        </w:rPr>
      </w:pPr>
      <w:r>
        <w:rPr>
          <w:rFonts w:hint="eastAsia" w:ascii="仿宋_GB2312" w:hAnsi="仿宋_GB2312" w:eastAsia="仿宋_GB2312" w:cs="仿宋_GB2312"/>
          <w:sz w:val="32"/>
          <w:szCs w:val="32"/>
          <w:lang w:val="en-US" w:eastAsia="zh-CN"/>
        </w:rPr>
        <w:t>项目监督管理情况</w:t>
      </w:r>
      <w:r>
        <w:rPr>
          <w:rFonts w:hint="eastAsia" w:hAnsi="仿宋_GB2312" w:cs="仿宋_GB2312"/>
          <w:sz w:val="32"/>
          <w:szCs w:val="32"/>
          <w:lang w:val="en-US" w:eastAsia="zh-CN"/>
        </w:rPr>
        <w:t>。</w:t>
      </w:r>
    </w:p>
    <w:p>
      <w:pPr>
        <w:numPr>
          <w:ilvl w:val="0"/>
          <w:numId w:val="0"/>
        </w:numPr>
        <w:ind w:firstLine="640" w:firstLineChars="200"/>
        <w:rPr>
          <w:rFonts w:hint="eastAsia" w:ascii="仿宋" w:hAnsi="仿宋" w:eastAsia="仿宋"/>
          <w:sz w:val="32"/>
        </w:rPr>
      </w:pPr>
      <w:r>
        <w:rPr>
          <w:rFonts w:hint="eastAsia" w:ascii="仿宋" w:hAnsi="仿宋" w:eastAsia="仿宋"/>
          <w:sz w:val="32"/>
        </w:rPr>
        <w:t>资金到位后，严格按照相关政策的程序执行，项目资金支出规范。</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、项目绩效</w:t>
      </w:r>
    </w:p>
    <w:p>
      <w:pPr>
        <w:ind w:firstLine="640" w:firstLineChars="200"/>
        <w:rPr>
          <w:rFonts w:hint="eastAsia" w:hAnsi="仿宋_GB2312" w:cs="仿宋_GB2312"/>
          <w:sz w:val="32"/>
          <w:szCs w:val="32"/>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项目绩效目标完成情况</w:t>
      </w:r>
      <w:r>
        <w:rPr>
          <w:rFonts w:hint="eastAsia"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hAnsi="仿宋_GB2312" w:cs="仿宋_GB2312"/>
          <w:sz w:val="32"/>
          <w:szCs w:val="32"/>
          <w:lang w:val="en-US" w:eastAsia="zh-CN"/>
        </w:rPr>
        <w:t>2021年度</w:t>
      </w:r>
      <w:r>
        <w:rPr>
          <w:rFonts w:hint="eastAsia" w:ascii="仿宋_GB2312" w:hAnsi="仿宋_GB2312" w:eastAsia="仿宋_GB2312" w:cs="仿宋_GB2312"/>
          <w:b w:val="0"/>
          <w:bCs w:val="0"/>
          <w:color w:val="auto"/>
          <w:sz w:val="32"/>
          <w:szCs w:val="32"/>
          <w:lang w:val="en-US" w:eastAsia="zh-CN"/>
        </w:rPr>
        <w:t>共有41518名离退休人员</w:t>
      </w:r>
      <w:r>
        <w:rPr>
          <w:rFonts w:hint="eastAsia" w:hAnsi="仿宋_GB2312" w:cs="仿宋_GB2312"/>
          <w:b w:val="0"/>
          <w:bCs w:val="0"/>
          <w:color w:val="auto"/>
          <w:sz w:val="32"/>
          <w:szCs w:val="32"/>
          <w:lang w:val="en-US" w:eastAsia="zh-CN"/>
        </w:rPr>
        <w:t>享受</w:t>
      </w:r>
      <w:r>
        <w:rPr>
          <w:rFonts w:hint="eastAsia" w:ascii="仿宋_GB2312" w:hAnsi="仿宋_GB2312" w:eastAsia="仿宋_GB2312" w:cs="仿宋_GB2312"/>
          <w:b w:val="0"/>
          <w:bCs w:val="0"/>
          <w:color w:val="auto"/>
          <w:sz w:val="32"/>
          <w:szCs w:val="32"/>
          <w:lang w:val="en-US" w:eastAsia="zh-CN"/>
        </w:rPr>
        <w:t>企业养老保险待遇，其中</w:t>
      </w:r>
      <w:r>
        <w:rPr>
          <w:rFonts w:hint="eastAsia" w:hAnsi="仿宋_GB2312" w:cs="仿宋_GB2312"/>
          <w:b w:val="0"/>
          <w:bCs w:val="0"/>
          <w:color w:val="auto"/>
          <w:sz w:val="32"/>
          <w:szCs w:val="32"/>
          <w:lang w:val="en-US" w:eastAsia="zh-CN"/>
        </w:rPr>
        <w:t>办理</w:t>
      </w:r>
      <w:r>
        <w:rPr>
          <w:rFonts w:hint="eastAsia" w:ascii="仿宋_GB2312" w:hAnsi="仿宋_GB2312" w:eastAsia="仿宋_GB2312" w:cs="仿宋_GB2312"/>
          <w:b w:val="0"/>
          <w:bCs w:val="0"/>
          <w:color w:val="auto"/>
          <w:sz w:val="32"/>
          <w:szCs w:val="32"/>
          <w:lang w:val="en-US" w:eastAsia="zh-CN"/>
        </w:rPr>
        <w:t>新增退休人员1683名；</w:t>
      </w:r>
      <w:r>
        <w:rPr>
          <w:rFonts w:hint="eastAsia" w:hAnsi="仿宋_GB2312" w:cs="仿宋_GB2312"/>
          <w:b w:val="0"/>
          <w:bCs w:val="0"/>
          <w:color w:val="auto"/>
          <w:sz w:val="32"/>
          <w:szCs w:val="32"/>
          <w:lang w:val="en-US" w:eastAsia="zh-CN"/>
        </w:rPr>
        <w:t>享受</w:t>
      </w:r>
      <w:r>
        <w:rPr>
          <w:rFonts w:hint="eastAsia" w:ascii="仿宋_GB2312" w:hAnsi="仿宋_GB2312" w:eastAsia="仿宋_GB2312" w:cs="仿宋_GB2312"/>
          <w:b w:val="0"/>
          <w:bCs w:val="0"/>
          <w:color w:val="auto"/>
          <w:sz w:val="32"/>
          <w:szCs w:val="32"/>
          <w:lang w:val="en-US" w:eastAsia="zh-CN"/>
        </w:rPr>
        <w:t>城乡居民基本养老保险待遇143564人，</w:t>
      </w:r>
      <w:r>
        <w:rPr>
          <w:rFonts w:hint="eastAsia" w:hAnsi="仿宋_GB2312" w:cs="仿宋_GB2312"/>
          <w:b w:val="0"/>
          <w:bCs w:val="0"/>
          <w:color w:val="auto"/>
          <w:sz w:val="32"/>
          <w:szCs w:val="32"/>
          <w:lang w:val="en-US" w:eastAsia="zh-CN"/>
        </w:rPr>
        <w:t>办理</w:t>
      </w:r>
      <w:r>
        <w:rPr>
          <w:rFonts w:hint="eastAsia" w:ascii="仿宋_GB2312" w:hAnsi="仿宋_GB2312" w:eastAsia="仿宋_GB2312" w:cs="仿宋_GB2312"/>
          <w:b w:val="0"/>
          <w:bCs w:val="0"/>
          <w:color w:val="auto"/>
          <w:sz w:val="32"/>
          <w:szCs w:val="32"/>
          <w:lang w:val="en-US" w:eastAsia="zh-CN"/>
        </w:rPr>
        <w:t>新增待遇领取人数11817人（含领取一次性待遇）；</w:t>
      </w:r>
      <w:r>
        <w:rPr>
          <w:rFonts w:hint="eastAsia" w:hAnsi="仿宋_GB2312" w:cs="仿宋_GB2312"/>
          <w:b w:val="0"/>
          <w:bCs w:val="0"/>
          <w:color w:val="auto"/>
          <w:sz w:val="32"/>
          <w:szCs w:val="32"/>
          <w:lang w:val="en-US" w:eastAsia="zh-CN"/>
        </w:rPr>
        <w:t>办理</w:t>
      </w:r>
      <w:r>
        <w:rPr>
          <w:rFonts w:hint="eastAsia" w:ascii="仿宋_GB2312" w:hAnsi="仿宋_GB2312" w:eastAsia="仿宋_GB2312" w:cs="仿宋_GB2312"/>
          <w:b w:val="0"/>
          <w:bCs w:val="0"/>
          <w:color w:val="auto"/>
          <w:sz w:val="32"/>
          <w:szCs w:val="32"/>
          <w:lang w:val="en-US" w:eastAsia="zh-CN"/>
        </w:rPr>
        <w:t>新增申领定期失业金332人；</w:t>
      </w:r>
      <w:r>
        <w:rPr>
          <w:rFonts w:hint="eastAsia" w:hAnsi="仿宋_GB2312" w:cs="仿宋_GB2312"/>
          <w:b w:val="0"/>
          <w:bCs w:val="0"/>
          <w:color w:val="auto"/>
          <w:sz w:val="32"/>
          <w:szCs w:val="32"/>
          <w:lang w:val="en-US" w:eastAsia="zh-CN"/>
        </w:rPr>
        <w:t>办理</w:t>
      </w:r>
      <w:r>
        <w:rPr>
          <w:rFonts w:hint="eastAsia" w:ascii="仿宋_GB2312" w:hAnsi="仿宋_GB2312" w:eastAsia="仿宋_GB2312" w:cs="仿宋_GB2312"/>
          <w:b w:val="0"/>
          <w:bCs w:val="0"/>
          <w:color w:val="auto"/>
          <w:sz w:val="32"/>
          <w:szCs w:val="32"/>
          <w:lang w:val="en-US" w:eastAsia="zh-CN"/>
        </w:rPr>
        <w:t>工伤定期待遇支付526人次、一次性工伤待遇支付86人次</w:t>
      </w:r>
      <w:r>
        <w:rPr>
          <w:rFonts w:hint="eastAsia" w:hAnsi="仿宋_GB2312" w:cs="仿宋_GB2312"/>
          <w:b w:val="0"/>
          <w:bCs w:val="0"/>
          <w:color w:val="auto"/>
          <w:sz w:val="32"/>
          <w:szCs w:val="32"/>
          <w:lang w:val="en-US" w:eastAsia="zh-CN"/>
        </w:rPr>
        <w:t>；机关养老共有</w:t>
      </w:r>
      <w:r>
        <w:rPr>
          <w:rFonts w:hint="eastAsia" w:ascii="仿宋_GB2312" w:hAnsi="仿宋_GB2312" w:eastAsia="仿宋_GB2312" w:cs="仿宋_GB2312"/>
          <w:b w:val="0"/>
          <w:bCs w:val="0"/>
          <w:color w:val="auto"/>
          <w:sz w:val="32"/>
          <w:szCs w:val="32"/>
          <w:lang w:val="en-US" w:eastAsia="zh-CN"/>
        </w:rPr>
        <w:t>15385</w:t>
      </w:r>
      <w:r>
        <w:rPr>
          <w:rFonts w:hint="eastAsia" w:ascii="仿宋_GB2312" w:hAnsi="仿宋_GB2312" w:eastAsia="仿宋_GB2312" w:cs="仿宋_GB2312"/>
          <w:b w:val="0"/>
          <w:bCs w:val="0"/>
          <w:color w:val="auto"/>
          <w:sz w:val="32"/>
          <w:szCs w:val="32"/>
          <w:lang w:eastAsia="zh-CN"/>
        </w:rPr>
        <w:t>人完成</w:t>
      </w:r>
      <w:r>
        <w:rPr>
          <w:rFonts w:hint="eastAsia" w:hAnsi="仿宋_GB2312" w:cs="仿宋_GB2312"/>
          <w:b w:val="0"/>
          <w:bCs w:val="0"/>
          <w:color w:val="auto"/>
          <w:sz w:val="32"/>
          <w:szCs w:val="32"/>
          <w:lang w:val="en-US" w:eastAsia="zh-CN"/>
        </w:rPr>
        <w:t>了上线征缴</w:t>
      </w:r>
      <w:r>
        <w:rPr>
          <w:rFonts w:hint="eastAsia" w:hAnsi="仿宋_GB2312" w:cs="仿宋_GB2312"/>
          <w:b w:val="0"/>
          <w:bCs w:val="0"/>
          <w:color w:val="auto"/>
          <w:sz w:val="32"/>
          <w:szCs w:val="32"/>
          <w:lang w:val="en-US" w:eastAsia="zh-CN"/>
        </w:rPr>
        <w:t>等工作。</w:t>
      </w:r>
      <w:r>
        <w:rPr>
          <w:rFonts w:hint="eastAsia" w:hAnsi="仿宋_GB2312" w:cs="仿宋_GB2312"/>
          <w:b w:val="0"/>
          <w:bCs w:val="0"/>
          <w:color w:val="auto"/>
          <w:sz w:val="32"/>
          <w:szCs w:val="32"/>
          <w:lang w:val="en-US" w:eastAsia="zh-CN"/>
        </w:rPr>
        <w:t>网络线路畅通，故障处理及时确保了各项社会保险业务的正常运行。</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项目自评情况结果</w:t>
      </w:r>
    </w:p>
    <w:p>
      <w:pPr>
        <w:spacing w:line="500" w:lineRule="exact"/>
        <w:ind w:firstLine="660"/>
        <w:textAlignment w:val="baseline"/>
        <w:rPr>
          <w:rFonts w:hint="eastAsia" w:ascii="仿宋" w:hAnsi="仿宋" w:eastAsia="仿宋"/>
          <w:sz w:val="32"/>
        </w:rPr>
      </w:pPr>
      <w:r>
        <w:rPr>
          <w:rFonts w:hint="eastAsia" w:ascii="仿宋" w:hAnsi="仿宋" w:eastAsia="仿宋"/>
          <w:sz w:val="32"/>
        </w:rPr>
        <w:t>（一）自评工作的组织情况</w:t>
      </w:r>
    </w:p>
    <w:p>
      <w:pPr>
        <w:ind w:firstLine="640" w:firstLineChars="200"/>
        <w:rPr>
          <w:rFonts w:hint="eastAsia" w:ascii="楷体_GB2312" w:hAnsi="楷体_GB2312" w:eastAsia="楷体_GB2312" w:cs="楷体_GB2312"/>
          <w:sz w:val="32"/>
          <w:szCs w:val="32"/>
          <w:lang w:val="en-US" w:eastAsia="zh-CN"/>
        </w:rPr>
      </w:pPr>
      <w:r>
        <w:rPr>
          <w:rFonts w:hint="eastAsia" w:hAnsi="仿宋_GB2312" w:cs="仿宋_GB2312"/>
          <w:sz w:val="32"/>
          <w:szCs w:val="32"/>
          <w:lang w:val="en-US" w:eastAsia="zh-CN"/>
        </w:rPr>
        <w:t>为切实做好2021年度县级财政支出项目绩效自评工作，根据《关于开展2021年度县级财政支出项目绩效自评工作的通知》（饶财统函〔2022〕2号）的文件精神，及进一步深化县级预算编制执行监督管理改革有关要求，强化绩效评价结果应用，提高财政资金使用效益和预算管理水平。我单位决定成立项目绩效自评工作小组，黄旭亮局长担任领导小组组长，江奇丰副局长担任领导小组副组长，计划财务股全体工作人员为领导小组成员。项目施工分工明确，责任落实，积极开展自评。</w:t>
      </w:r>
    </w:p>
    <w:p>
      <w:pPr>
        <w:spacing w:line="500" w:lineRule="exact"/>
        <w:ind w:firstLine="660"/>
        <w:textAlignment w:val="baseline"/>
        <w:rPr>
          <w:rFonts w:hint="eastAsia" w:ascii="仿宋" w:hAnsi="仿宋" w:eastAsia="仿宋"/>
          <w:sz w:val="32"/>
        </w:rPr>
      </w:pPr>
      <w:r>
        <w:rPr>
          <w:rFonts w:hint="eastAsia" w:ascii="仿宋" w:hAnsi="仿宋" w:eastAsia="仿宋"/>
          <w:sz w:val="32"/>
        </w:rPr>
        <w:t>(二)自评分数以及自评等级</w:t>
      </w:r>
    </w:p>
    <w:p>
      <w:pPr>
        <w:spacing w:line="500" w:lineRule="exact"/>
        <w:ind w:firstLine="660"/>
        <w:textAlignment w:val="baseline"/>
        <w:rPr>
          <w:rFonts w:ascii="黑体" w:hAnsi="黑体" w:eastAsia="黑体"/>
          <w:sz w:val="32"/>
          <w:szCs w:val="32"/>
        </w:rPr>
      </w:pPr>
      <w:r>
        <w:rPr>
          <w:rFonts w:hint="eastAsia" w:ascii="仿宋" w:hAnsi="仿宋" w:eastAsia="仿宋"/>
          <w:sz w:val="32"/>
        </w:rPr>
        <w:t>被评价项目绩效目标明确，决策依据充分，资金分配科学合理，使用规范，项目在实施过程中严格执行有关制度，完成良好，基本达到预期效果。自评分数9</w:t>
      </w:r>
      <w:r>
        <w:rPr>
          <w:rFonts w:hint="eastAsia" w:ascii="仿宋" w:hAnsi="仿宋" w:eastAsia="仿宋"/>
          <w:sz w:val="32"/>
          <w:lang w:val="en-US" w:eastAsia="zh-CN"/>
        </w:rPr>
        <w:t>7</w:t>
      </w:r>
      <w:bookmarkStart w:id="0" w:name="_GoBack"/>
      <w:bookmarkEnd w:id="0"/>
      <w:r>
        <w:rPr>
          <w:rFonts w:hint="eastAsia" w:ascii="仿宋" w:hAnsi="仿宋" w:eastAsia="仿宋"/>
          <w:sz w:val="32"/>
          <w:lang w:val="en-US" w:eastAsia="zh-CN"/>
        </w:rPr>
        <w:t>分</w:t>
      </w:r>
      <w:r>
        <w:rPr>
          <w:rFonts w:hint="eastAsia" w:ascii="仿宋" w:hAnsi="仿宋" w:eastAsia="仿宋"/>
          <w:sz w:val="32"/>
        </w:rPr>
        <w:t>，自评等级优。</w:t>
      </w:r>
    </w:p>
    <w:p>
      <w:pPr>
        <w:widowControl/>
        <w:spacing w:line="240" w:lineRule="auto"/>
        <w:jc w:val="left"/>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   </w:t>
      </w:r>
    </w:p>
    <w:p>
      <w:pPr>
        <w:spacing w:line="500" w:lineRule="exact"/>
        <w:ind w:firstLine="660"/>
        <w:textAlignment w:val="baseline"/>
        <w:rPr>
          <w:rFonts w:hint="eastAsia" w:ascii="仿宋" w:hAnsi="仿宋" w:eastAsia="仿宋" w:cs="Times New Roman"/>
          <w:sz w:val="32"/>
          <w:lang w:val="en-US" w:eastAsia="zh-CN"/>
        </w:rPr>
      </w:pPr>
    </w:p>
    <w:p>
      <w:pPr>
        <w:spacing w:line="500" w:lineRule="exact"/>
        <w:ind w:firstLine="4201" w:firstLineChars="1313"/>
        <w:textAlignment w:val="baseline"/>
        <w:rPr>
          <w:rFonts w:hint="eastAsia" w:ascii="仿宋" w:hAnsi="仿宋" w:eastAsia="仿宋" w:cs="Times New Roman"/>
          <w:sz w:val="32"/>
          <w:lang w:val="en-US" w:eastAsia="zh-CN"/>
        </w:rPr>
      </w:pPr>
      <w:r>
        <w:rPr>
          <w:rFonts w:hint="eastAsia" w:ascii="仿宋" w:hAnsi="仿宋" w:eastAsia="仿宋" w:cs="Times New Roman"/>
          <w:sz w:val="32"/>
          <w:lang w:val="en-US" w:eastAsia="zh-CN"/>
        </w:rPr>
        <w:t>饶平县社会保险基金管理局</w:t>
      </w:r>
    </w:p>
    <w:p>
      <w:pPr>
        <w:spacing w:line="500" w:lineRule="exact"/>
        <w:ind w:firstLine="4841" w:firstLineChars="1513"/>
        <w:textAlignment w:val="baseline"/>
        <w:rPr>
          <w:rFonts w:hint="eastAsia" w:ascii="仿宋" w:hAnsi="仿宋" w:eastAsia="仿宋" w:cs="Times New Roman"/>
          <w:sz w:val="32"/>
          <w:lang w:val="en-US" w:eastAsia="zh-CN"/>
        </w:rPr>
      </w:pPr>
      <w:r>
        <w:rPr>
          <w:rFonts w:hint="eastAsia" w:ascii="仿宋" w:hAnsi="仿宋" w:eastAsia="仿宋" w:cs="Times New Roman"/>
          <w:sz w:val="32"/>
          <w:lang w:val="en-US" w:eastAsia="zh-CN"/>
        </w:rPr>
        <w:t>2022年6月12日</w:t>
      </w:r>
    </w:p>
    <w:p>
      <w:pPr>
        <w:widowControl/>
        <w:spacing w:line="240" w:lineRule="auto"/>
        <w:jc w:val="left"/>
        <w:rPr>
          <w:rFonts w:ascii="黑体" w:hAnsi="黑体" w:eastAsia="黑体"/>
          <w:sz w:val="32"/>
          <w:szCs w:val="32"/>
        </w:rPr>
      </w:pPr>
    </w:p>
    <w:p/>
    <w:sectPr>
      <w:footerReference r:id="rId3" w:type="default"/>
      <w:footerReference r:id="rId4" w:type="even"/>
      <w:pgSz w:w="11906" w:h="16838"/>
      <w:pgMar w:top="2098" w:right="1474" w:bottom="1985" w:left="1588" w:header="851" w:footer="119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15" w:rightChars="150"/>
      <w:jc w:val="right"/>
      <w:rPr>
        <w:rFonts w:ascii="宋体" w:hAnsi="宋体" w:eastAsia="宋体"/>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lang w:val="zh-CN"/>
      </w:rPr>
      <w:t>1</w:t>
    </w:r>
    <w:r>
      <w:rPr>
        <w:rFonts w:ascii="宋体" w:hAnsi="宋体" w:eastAsia="宋体"/>
        <w:sz w:val="28"/>
      </w:rPr>
      <w:fldChar w:fldCharType="end"/>
    </w:r>
    <w:r>
      <w:rPr>
        <w:rFonts w:ascii="宋体" w:hAnsi="宋体" w:eastAsia="宋体"/>
        <w:sz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15" w:leftChars="150"/>
    </w:pPr>
    <w:r>
      <w:rPr>
        <w:rFonts w:ascii="宋体"/>
        <w:sz w:val="28"/>
      </w:rPr>
      <w:t xml:space="preserve">— </w:t>
    </w: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lang w:val="zh-CN"/>
      </w:rPr>
      <w:t>2</w:t>
    </w:r>
    <w:r>
      <w:rPr>
        <w:rFonts w:ascii="宋体"/>
        <w:sz w:val="28"/>
      </w:rPr>
      <w:fldChar w:fldCharType="end"/>
    </w:r>
    <w:r>
      <w:rPr>
        <w:rFonts w:ascii="宋体"/>
        <w:sz w:val="28"/>
      </w:rPr>
      <w:t xml:space="preserve"> —</w:t>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DF6349"/>
    <w:multiLevelType w:val="singleLevel"/>
    <w:tmpl w:val="CBDF6349"/>
    <w:lvl w:ilvl="0" w:tentative="0">
      <w:start w:val="1"/>
      <w:numFmt w:val="chineseCounting"/>
      <w:suff w:val="nothing"/>
      <w:lvlText w:val="%1、"/>
      <w:lvlJc w:val="left"/>
      <w:rPr>
        <w:rFonts w:hint="eastAsia"/>
      </w:rPr>
    </w:lvl>
  </w:abstractNum>
  <w:abstractNum w:abstractNumId="1">
    <w:nsid w:val="E051DF3B"/>
    <w:multiLevelType w:val="singleLevel"/>
    <w:tmpl w:val="E051DF3B"/>
    <w:lvl w:ilvl="0" w:tentative="0">
      <w:start w:val="2"/>
      <w:numFmt w:val="chineseCounting"/>
      <w:suff w:val="nothing"/>
      <w:lvlText w:val="（%1）"/>
      <w:lvlJc w:val="left"/>
      <w:rPr>
        <w:rFonts w:hint="eastAsia"/>
      </w:rPr>
    </w:lvl>
  </w:abstractNum>
  <w:abstractNum w:abstractNumId="2">
    <w:nsid w:val="2E2E13DD"/>
    <w:multiLevelType w:val="singleLevel"/>
    <w:tmpl w:val="2E2E13DD"/>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962E33"/>
    <w:rsid w:val="012413C1"/>
    <w:rsid w:val="152442D3"/>
    <w:rsid w:val="15A031A8"/>
    <w:rsid w:val="1894109B"/>
    <w:rsid w:val="216C2A14"/>
    <w:rsid w:val="2C67262C"/>
    <w:rsid w:val="3106714F"/>
    <w:rsid w:val="31B14C81"/>
    <w:rsid w:val="33A95044"/>
    <w:rsid w:val="35962F3F"/>
    <w:rsid w:val="3AE44D57"/>
    <w:rsid w:val="3C026AAA"/>
    <w:rsid w:val="3D3E2E5E"/>
    <w:rsid w:val="3DA5350D"/>
    <w:rsid w:val="3F32790A"/>
    <w:rsid w:val="3FFB1B0B"/>
    <w:rsid w:val="431363ED"/>
    <w:rsid w:val="473D4D7C"/>
    <w:rsid w:val="490A37B6"/>
    <w:rsid w:val="52234B6D"/>
    <w:rsid w:val="55192356"/>
    <w:rsid w:val="555A4FF1"/>
    <w:rsid w:val="561133E2"/>
    <w:rsid w:val="59FD02AC"/>
    <w:rsid w:val="5BD852EB"/>
    <w:rsid w:val="5F12610D"/>
    <w:rsid w:val="60C74F15"/>
    <w:rsid w:val="611F7D4D"/>
    <w:rsid w:val="643E4A11"/>
    <w:rsid w:val="68E13C35"/>
    <w:rsid w:val="6AC400E1"/>
    <w:rsid w:val="6B125A51"/>
    <w:rsid w:val="6FAA63E9"/>
    <w:rsid w:val="78337CA9"/>
    <w:rsid w:val="7C7F2A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uiPriority="0" w:name="footnote text"/>
    <w:lsdException w:qFormat="1" w:uiPriority="0" w:semiHidden="0" w:name="annotation text"/>
    <w:lsdException w:qFormat="1" w:unhideWhenUsed="0" w:uiPriority="0" w:name="header"/>
    <w:lsdException w:qFormat="1" w:unhideWhenUsed="0"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9" w:lineRule="exact"/>
      <w:jc w:val="both"/>
    </w:pPr>
    <w:rPr>
      <w:rFonts w:ascii="仿宋_GB2312" w:hAnsi="Times New Roman" w:eastAsia="仿宋_GB2312" w:cs="Times New Roman"/>
      <w:kern w:val="2"/>
      <w:sz w:val="21"/>
      <w:szCs w:val="22"/>
      <w:lang w:val="en-US" w:eastAsia="zh-CN" w:bidi="ar-SA"/>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8"/>
    <w:unhideWhenUsed/>
    <w:qFormat/>
    <w:uiPriority w:val="0"/>
    <w:rPr>
      <w:b/>
      <w:bCs/>
    </w:rPr>
  </w:style>
  <w:style w:type="paragraph" w:styleId="3">
    <w:name w:val="annotation text"/>
    <w:basedOn w:val="1"/>
    <w:link w:val="17"/>
    <w:unhideWhenUsed/>
    <w:qFormat/>
    <w:uiPriority w:val="0"/>
    <w:pPr>
      <w:jc w:val="left"/>
    </w:pPr>
  </w:style>
  <w:style w:type="paragraph" w:styleId="4">
    <w:name w:val="Date"/>
    <w:basedOn w:val="1"/>
    <w:next w:val="1"/>
    <w:link w:val="20"/>
    <w:qFormat/>
    <w:uiPriority w:val="0"/>
    <w:pPr>
      <w:ind w:left="100" w:leftChars="2500"/>
    </w:pPr>
  </w:style>
  <w:style w:type="paragraph" w:styleId="5">
    <w:name w:val="Balloon Text"/>
    <w:basedOn w:val="1"/>
    <w:link w:val="19"/>
    <w:unhideWhenUsed/>
    <w:qFormat/>
    <w:uiPriority w:val="0"/>
    <w:pPr>
      <w:spacing w:line="240" w:lineRule="auto"/>
    </w:pPr>
    <w:rPr>
      <w:sz w:val="18"/>
      <w:szCs w:val="18"/>
    </w:rPr>
  </w:style>
  <w:style w:type="paragraph" w:styleId="6">
    <w:name w:val="footer"/>
    <w:basedOn w:val="1"/>
    <w:link w:val="13"/>
    <w:qFormat/>
    <w:uiPriority w:val="0"/>
    <w:pPr>
      <w:tabs>
        <w:tab w:val="center" w:pos="4153"/>
        <w:tab w:val="right" w:pos="8306"/>
      </w:tabs>
      <w:snapToGrid w:val="0"/>
      <w:spacing w:line="240" w:lineRule="atLeast"/>
      <w:jc w:val="left"/>
    </w:pPr>
    <w:rPr>
      <w:sz w:val="18"/>
      <w:szCs w:val="18"/>
    </w:rPr>
  </w:style>
  <w:style w:type="paragraph" w:styleId="7">
    <w:name w:val="header"/>
    <w:basedOn w:val="1"/>
    <w:link w:val="14"/>
    <w:semiHidden/>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9">
    <w:name w:val="page number"/>
    <w:basedOn w:val="8"/>
    <w:qFormat/>
    <w:uiPriority w:val="0"/>
    <w:rPr>
      <w:rFonts w:cs="Times New Roman"/>
    </w:rPr>
  </w:style>
  <w:style w:type="character" w:styleId="10">
    <w:name w:val="annotation reference"/>
    <w:basedOn w:val="8"/>
    <w:unhideWhenUsed/>
    <w:qFormat/>
    <w:uiPriority w:val="0"/>
    <w:rPr>
      <w:sz w:val="21"/>
      <w:szCs w:val="21"/>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3">
    <w:name w:val="页脚 Char"/>
    <w:basedOn w:val="8"/>
    <w:link w:val="6"/>
    <w:qFormat/>
    <w:locked/>
    <w:uiPriority w:val="0"/>
    <w:rPr>
      <w:rFonts w:cs="Times New Roman"/>
      <w:sz w:val="18"/>
      <w:szCs w:val="18"/>
    </w:rPr>
  </w:style>
  <w:style w:type="character" w:customStyle="1" w:styleId="14">
    <w:name w:val="页眉 Char"/>
    <w:basedOn w:val="8"/>
    <w:link w:val="7"/>
    <w:semiHidden/>
    <w:qFormat/>
    <w:locked/>
    <w:uiPriority w:val="0"/>
    <w:rPr>
      <w:rFonts w:cs="Times New Roman"/>
      <w:sz w:val="18"/>
      <w:szCs w:val="18"/>
    </w:rPr>
  </w:style>
  <w:style w:type="character" w:customStyle="1" w:styleId="15">
    <w:name w:val="apple-converted-space"/>
    <w:basedOn w:val="8"/>
    <w:qFormat/>
    <w:uiPriority w:val="0"/>
  </w:style>
  <w:style w:type="paragraph" w:customStyle="1" w:styleId="16">
    <w:name w:val="List Paragraph"/>
    <w:basedOn w:val="1"/>
    <w:qFormat/>
    <w:uiPriority w:val="34"/>
    <w:pPr>
      <w:ind w:firstLine="420" w:firstLineChars="200"/>
    </w:pPr>
  </w:style>
  <w:style w:type="character" w:customStyle="1" w:styleId="17">
    <w:name w:val="批注文字 Char"/>
    <w:basedOn w:val="8"/>
    <w:link w:val="3"/>
    <w:semiHidden/>
    <w:qFormat/>
    <w:uiPriority w:val="0"/>
    <w:rPr>
      <w:kern w:val="2"/>
      <w:sz w:val="21"/>
      <w:szCs w:val="22"/>
    </w:rPr>
  </w:style>
  <w:style w:type="character" w:customStyle="1" w:styleId="18">
    <w:name w:val="批注主题 Char"/>
    <w:basedOn w:val="17"/>
    <w:link w:val="2"/>
    <w:semiHidden/>
    <w:qFormat/>
    <w:uiPriority w:val="0"/>
    <w:rPr>
      <w:b/>
      <w:bCs/>
      <w:kern w:val="2"/>
      <w:sz w:val="21"/>
      <w:szCs w:val="22"/>
    </w:rPr>
  </w:style>
  <w:style w:type="character" w:customStyle="1" w:styleId="19">
    <w:name w:val="批注框文本 Char"/>
    <w:basedOn w:val="8"/>
    <w:link w:val="5"/>
    <w:semiHidden/>
    <w:qFormat/>
    <w:uiPriority w:val="0"/>
    <w:rPr>
      <w:kern w:val="2"/>
      <w:sz w:val="18"/>
      <w:szCs w:val="18"/>
    </w:rPr>
  </w:style>
  <w:style w:type="character" w:customStyle="1" w:styleId="20">
    <w:name w:val="日期 Char"/>
    <w:basedOn w:val="8"/>
    <w:link w:val="4"/>
    <w:qFormat/>
    <w:uiPriority w:val="0"/>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79</Words>
  <Characters>451</Characters>
  <Lines>3</Lines>
  <Paragraphs>1</Paragraphs>
  <TotalTime>4</TotalTime>
  <ScaleCrop>false</ScaleCrop>
  <LinksUpToDate>false</LinksUpToDate>
  <CharactersWithSpaces>529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2019-02-15T15:04:00Z</dcterms:created>
  <dc:creator>Windows 用户</dc:creator>
  <cp:lastModifiedBy>rp</cp:lastModifiedBy>
  <cp:lastPrinted>2021-04-12T07:27:00Z</cp:lastPrinted>
  <dcterms:modified xsi:type="dcterms:W3CDTF">2022-06-12T07:58:53Z</dcterms:modified>
  <dc:title>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