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626" w:firstLineChars="195"/>
        <w:rPr>
          <w:rFonts w:hint="eastAsia" w:ascii="楷体_GB2312" w:hAnsi="华文楷体" w:eastAsia="楷体_GB2312"/>
          <w:szCs w:val="21"/>
        </w:rPr>
      </w:pPr>
      <w:r>
        <w:rPr>
          <w:rFonts w:hint="eastAsia" w:ascii="黑体" w:hAnsi="华文楷体" w:eastAsia="黑体"/>
          <w:b/>
          <w:sz w:val="32"/>
          <w:szCs w:val="32"/>
        </w:rPr>
        <w:t>20</w:t>
      </w:r>
      <w:r>
        <w:rPr>
          <w:rFonts w:hint="eastAsia" w:ascii="黑体" w:hAnsi="华文楷体" w:eastAsia="黑体"/>
          <w:b/>
          <w:sz w:val="32"/>
          <w:szCs w:val="32"/>
          <w:lang w:val="en-US" w:eastAsia="zh-CN"/>
        </w:rPr>
        <w:t>21</w:t>
      </w:r>
      <w:r>
        <w:rPr>
          <w:rFonts w:hint="eastAsia" w:ascii="黑体" w:hAnsi="华文楷体" w:eastAsia="黑体"/>
          <w:b/>
          <w:sz w:val="32"/>
          <w:szCs w:val="32"/>
        </w:rPr>
        <w:t>年全县经济运行简析</w:t>
      </w:r>
    </w:p>
    <w:p>
      <w:pPr>
        <w:spacing w:line="420" w:lineRule="exact"/>
        <w:ind w:firstLine="409" w:firstLineChars="195"/>
        <w:rPr>
          <w:rFonts w:hint="eastAsia" w:ascii="楷体_GB2312" w:hAnsi="华文楷体" w:eastAsia="楷体_GB2312"/>
          <w:szCs w:val="21"/>
        </w:rPr>
      </w:pPr>
    </w:p>
    <w:p>
      <w:pPr>
        <w:spacing w:line="380" w:lineRule="exact"/>
        <w:ind w:firstLine="420" w:firstLineChars="200"/>
        <w:rPr>
          <w:rFonts w:hint="eastAsia" w:ascii="楷体" w:hAnsi="楷体" w:eastAsia="楷体"/>
          <w:szCs w:val="22"/>
        </w:rPr>
      </w:pPr>
      <w:r>
        <w:rPr>
          <w:rFonts w:hint="eastAsia" w:ascii="楷体" w:hAnsi="楷体" w:eastAsia="楷体"/>
          <w:szCs w:val="22"/>
          <w:lang w:val="en-US" w:eastAsia="zh-CN"/>
        </w:rPr>
        <w:t>2021年</w:t>
      </w:r>
      <w:r>
        <w:rPr>
          <w:rFonts w:hint="eastAsia" w:ascii="楷体" w:hAnsi="楷体" w:eastAsia="楷体"/>
          <w:szCs w:val="22"/>
          <w:lang w:eastAsia="zh-CN"/>
        </w:rPr>
        <w:t>县委、县政府全面贯彻落实上级的决策部署，科学统筹疫情防控和经济社会发展，采取得力措施帮扶企业，优化营商环境，加快乡村振兴建设步伐，经济运行态势良好，为“十四五”规划实施开好局、起好步</w:t>
      </w:r>
      <w:r>
        <w:rPr>
          <w:rFonts w:hint="eastAsia" w:ascii="楷体" w:hAnsi="楷体" w:eastAsia="楷体"/>
          <w:szCs w:val="22"/>
        </w:rPr>
        <w:t>。</w:t>
      </w:r>
    </w:p>
    <w:p>
      <w:pPr>
        <w:spacing w:line="380" w:lineRule="exact"/>
        <w:ind w:firstLine="420" w:firstLineChars="200"/>
        <w:rPr>
          <w:rFonts w:hint="eastAsia" w:ascii="楷体" w:hAnsi="楷体" w:eastAsia="楷体"/>
          <w:szCs w:val="28"/>
        </w:rPr>
      </w:pPr>
      <w:r>
        <w:rPr>
          <w:rFonts w:hint="eastAsia" w:ascii="楷体" w:hAnsi="楷体" w:eastAsia="楷体"/>
          <w:szCs w:val="28"/>
        </w:rPr>
        <w:t>经市统计局</w:t>
      </w:r>
      <w:r>
        <w:rPr>
          <w:rFonts w:hint="eastAsia" w:ascii="楷体" w:hAnsi="楷体" w:eastAsia="楷体"/>
          <w:szCs w:val="28"/>
          <w:lang w:eastAsia="zh-CN"/>
        </w:rPr>
        <w:t>统一核算</w:t>
      </w:r>
      <w:r>
        <w:rPr>
          <w:rFonts w:hint="eastAsia" w:ascii="楷体" w:hAnsi="楷体" w:eastAsia="楷体"/>
          <w:szCs w:val="28"/>
        </w:rPr>
        <w:t>，全县</w:t>
      </w:r>
      <w:r>
        <w:rPr>
          <w:rFonts w:hint="eastAsia" w:ascii="楷体" w:hAnsi="楷体" w:eastAsia="楷体"/>
          <w:szCs w:val="28"/>
          <w:lang w:val="en-US" w:eastAsia="zh-CN"/>
        </w:rPr>
        <w:t>2021</w:t>
      </w:r>
      <w:r>
        <w:rPr>
          <w:rFonts w:hint="eastAsia" w:ascii="楷体" w:hAnsi="楷体" w:eastAsia="楷体"/>
          <w:szCs w:val="28"/>
        </w:rPr>
        <w:t>年</w:t>
      </w:r>
      <w:r>
        <w:rPr>
          <w:rFonts w:hint="eastAsia" w:ascii="楷体" w:hAnsi="楷体" w:eastAsia="楷体"/>
          <w:szCs w:val="28"/>
          <w:lang w:eastAsia="zh-CN"/>
        </w:rPr>
        <w:t>实现地区</w:t>
      </w:r>
      <w:r>
        <w:rPr>
          <w:rFonts w:hint="eastAsia" w:ascii="楷体" w:hAnsi="楷体" w:eastAsia="楷体"/>
          <w:szCs w:val="28"/>
        </w:rPr>
        <w:t>生产总值为</w:t>
      </w:r>
      <w:r>
        <w:rPr>
          <w:rFonts w:hint="eastAsia" w:ascii="楷体" w:hAnsi="楷体" w:eastAsia="楷体"/>
          <w:szCs w:val="28"/>
          <w:lang w:val="en-US" w:eastAsia="zh-CN"/>
        </w:rPr>
        <w:t>324.44</w:t>
      </w:r>
      <w:r>
        <w:rPr>
          <w:rFonts w:hint="eastAsia" w:ascii="楷体" w:hAnsi="楷体" w:eastAsia="楷体"/>
          <w:szCs w:val="28"/>
        </w:rPr>
        <w:t>亿元，</w:t>
      </w:r>
      <w:r>
        <w:rPr>
          <w:rFonts w:hint="eastAsia" w:ascii="楷体" w:hAnsi="楷体" w:eastAsia="楷体"/>
          <w:szCs w:val="28"/>
          <w:lang w:eastAsia="zh-CN"/>
        </w:rPr>
        <w:t>首次超过了</w:t>
      </w:r>
      <w:r>
        <w:rPr>
          <w:rFonts w:hint="eastAsia" w:ascii="楷体" w:hAnsi="楷体" w:eastAsia="楷体"/>
          <w:szCs w:val="28"/>
          <w:lang w:val="en-US" w:eastAsia="zh-CN"/>
        </w:rPr>
        <w:t>300亿元，</w:t>
      </w:r>
      <w:r>
        <w:rPr>
          <w:rFonts w:hint="eastAsia" w:ascii="楷体" w:hAnsi="楷体" w:eastAsia="楷体"/>
          <w:szCs w:val="28"/>
        </w:rPr>
        <w:t>按可比价</w:t>
      </w:r>
      <w:r>
        <w:rPr>
          <w:rFonts w:hint="eastAsia" w:ascii="楷体" w:hAnsi="楷体" w:eastAsia="楷体"/>
          <w:szCs w:val="28"/>
          <w:lang w:eastAsia="zh-CN"/>
        </w:rPr>
        <w:t>同比</w:t>
      </w:r>
      <w:r>
        <w:rPr>
          <w:rFonts w:hint="eastAsia" w:ascii="楷体" w:hAnsi="楷体" w:eastAsia="楷体"/>
          <w:szCs w:val="28"/>
        </w:rPr>
        <w:t>增长</w:t>
      </w:r>
      <w:r>
        <w:rPr>
          <w:rFonts w:hint="eastAsia" w:ascii="楷体" w:hAnsi="楷体" w:eastAsia="楷体"/>
          <w:szCs w:val="28"/>
          <w:lang w:val="en-US" w:eastAsia="zh-CN"/>
        </w:rPr>
        <w:t>11.8</w:t>
      </w:r>
      <w:r>
        <w:rPr>
          <w:rFonts w:hint="eastAsia" w:ascii="楷体" w:hAnsi="楷体" w:eastAsia="楷体"/>
          <w:szCs w:val="28"/>
        </w:rPr>
        <w:t>%</w:t>
      </w:r>
      <w:r>
        <w:rPr>
          <w:rFonts w:hint="eastAsia" w:ascii="楷体" w:hAnsi="楷体" w:eastAsia="楷体"/>
          <w:szCs w:val="28"/>
          <w:lang w:eastAsia="zh-CN"/>
        </w:rPr>
        <w:t>，两年平均增长</w:t>
      </w:r>
      <w:r>
        <w:rPr>
          <w:rFonts w:hint="eastAsia" w:ascii="楷体" w:hAnsi="楷体" w:eastAsia="楷体"/>
          <w:szCs w:val="28"/>
          <w:lang w:val="en-US" w:eastAsia="zh-CN"/>
        </w:rPr>
        <w:t>6.7%。</w:t>
      </w:r>
      <w:r>
        <w:rPr>
          <w:rFonts w:hint="eastAsia" w:ascii="楷体" w:hAnsi="楷体" w:eastAsia="楷体"/>
          <w:szCs w:val="28"/>
        </w:rPr>
        <w:t>其中，第一产业增加值</w:t>
      </w:r>
      <w:r>
        <w:rPr>
          <w:rFonts w:hint="eastAsia" w:ascii="楷体" w:hAnsi="楷体" w:eastAsia="楷体"/>
          <w:szCs w:val="28"/>
          <w:lang w:val="en-US" w:eastAsia="zh-CN"/>
        </w:rPr>
        <w:t>78.30</w:t>
      </w:r>
      <w:r>
        <w:rPr>
          <w:rFonts w:hint="eastAsia" w:ascii="楷体" w:hAnsi="楷体" w:eastAsia="楷体"/>
          <w:szCs w:val="28"/>
        </w:rPr>
        <w:t>亿元，增长</w:t>
      </w:r>
      <w:r>
        <w:rPr>
          <w:rFonts w:hint="eastAsia" w:ascii="楷体" w:hAnsi="楷体" w:eastAsia="楷体"/>
          <w:szCs w:val="28"/>
          <w:lang w:val="en-US" w:eastAsia="zh-CN"/>
        </w:rPr>
        <w:t>9.1</w:t>
      </w:r>
      <w:r>
        <w:rPr>
          <w:rFonts w:hint="eastAsia" w:ascii="楷体" w:hAnsi="楷体" w:eastAsia="楷体"/>
          <w:szCs w:val="28"/>
        </w:rPr>
        <w:t>%</w:t>
      </w:r>
      <w:r>
        <w:rPr>
          <w:rFonts w:hint="eastAsia" w:ascii="楷体" w:hAnsi="楷体" w:eastAsia="楷体"/>
          <w:szCs w:val="28"/>
          <w:lang w:eastAsia="zh-CN"/>
        </w:rPr>
        <w:t>，两年平均增长</w:t>
      </w:r>
      <w:r>
        <w:rPr>
          <w:rFonts w:hint="eastAsia" w:ascii="楷体" w:hAnsi="楷体" w:eastAsia="楷体"/>
          <w:szCs w:val="28"/>
          <w:lang w:val="en-US" w:eastAsia="zh-CN"/>
        </w:rPr>
        <w:t>7.1%</w:t>
      </w:r>
      <w:r>
        <w:rPr>
          <w:rFonts w:hint="eastAsia" w:ascii="楷体" w:hAnsi="楷体" w:eastAsia="楷体"/>
          <w:szCs w:val="28"/>
        </w:rPr>
        <w:t>；第二产业增加值</w:t>
      </w:r>
      <w:r>
        <w:rPr>
          <w:rFonts w:hint="eastAsia" w:ascii="楷体" w:hAnsi="楷体" w:eastAsia="楷体"/>
          <w:szCs w:val="28"/>
          <w:lang w:val="en-US" w:eastAsia="zh-CN"/>
        </w:rPr>
        <w:t>110.03</w:t>
      </w:r>
      <w:r>
        <w:rPr>
          <w:rFonts w:hint="eastAsia" w:ascii="楷体" w:hAnsi="楷体" w:eastAsia="楷体"/>
          <w:szCs w:val="28"/>
        </w:rPr>
        <w:t>亿元，增长</w:t>
      </w:r>
      <w:r>
        <w:rPr>
          <w:rFonts w:hint="eastAsia" w:ascii="楷体" w:hAnsi="楷体" w:eastAsia="楷体"/>
          <w:szCs w:val="28"/>
          <w:lang w:val="en-US" w:eastAsia="zh-CN"/>
        </w:rPr>
        <w:t>16.5</w:t>
      </w:r>
      <w:r>
        <w:rPr>
          <w:rFonts w:hint="eastAsia" w:ascii="楷体" w:hAnsi="楷体" w:eastAsia="楷体"/>
          <w:szCs w:val="28"/>
        </w:rPr>
        <w:t>%</w:t>
      </w:r>
      <w:r>
        <w:rPr>
          <w:rFonts w:hint="eastAsia" w:ascii="楷体" w:hAnsi="楷体" w:eastAsia="楷体"/>
          <w:szCs w:val="28"/>
          <w:lang w:eastAsia="zh-CN"/>
        </w:rPr>
        <w:t>，两年平均增长</w:t>
      </w:r>
      <w:r>
        <w:rPr>
          <w:rFonts w:hint="eastAsia" w:ascii="楷体" w:hAnsi="楷体" w:eastAsia="楷体"/>
          <w:szCs w:val="28"/>
          <w:lang w:val="en-US" w:eastAsia="zh-CN"/>
        </w:rPr>
        <w:t>9.3%</w:t>
      </w:r>
      <w:r>
        <w:rPr>
          <w:rFonts w:hint="eastAsia" w:ascii="楷体" w:hAnsi="楷体" w:eastAsia="楷体"/>
          <w:szCs w:val="28"/>
        </w:rPr>
        <w:t>；第三产业增加值</w:t>
      </w:r>
      <w:r>
        <w:rPr>
          <w:rFonts w:hint="eastAsia" w:ascii="楷体" w:hAnsi="楷体" w:eastAsia="楷体"/>
          <w:szCs w:val="28"/>
          <w:lang w:val="en-US" w:eastAsia="zh-CN"/>
        </w:rPr>
        <w:t>136.11</w:t>
      </w:r>
      <w:r>
        <w:rPr>
          <w:rFonts w:hint="eastAsia" w:ascii="楷体" w:hAnsi="楷体" w:eastAsia="楷体"/>
          <w:szCs w:val="28"/>
        </w:rPr>
        <w:t>亿元，增长</w:t>
      </w:r>
      <w:r>
        <w:rPr>
          <w:rFonts w:hint="eastAsia" w:ascii="楷体" w:hAnsi="楷体" w:eastAsia="楷体"/>
          <w:szCs w:val="28"/>
          <w:lang w:val="en-US" w:eastAsia="zh-CN"/>
        </w:rPr>
        <w:t>9.8</w:t>
      </w:r>
      <w:r>
        <w:rPr>
          <w:rFonts w:hint="eastAsia" w:ascii="楷体" w:hAnsi="楷体" w:eastAsia="楷体"/>
          <w:szCs w:val="28"/>
        </w:rPr>
        <w:t>%</w:t>
      </w:r>
      <w:r>
        <w:rPr>
          <w:rFonts w:hint="eastAsia" w:ascii="楷体" w:hAnsi="楷体" w:eastAsia="楷体"/>
          <w:szCs w:val="28"/>
          <w:lang w:eastAsia="zh-CN"/>
        </w:rPr>
        <w:t>，两年平均增长</w:t>
      </w:r>
      <w:r>
        <w:rPr>
          <w:rFonts w:hint="eastAsia" w:ascii="楷体" w:hAnsi="楷体" w:eastAsia="楷体"/>
          <w:szCs w:val="28"/>
          <w:lang w:val="en-US" w:eastAsia="zh-CN"/>
        </w:rPr>
        <w:t>4.7%</w:t>
      </w:r>
      <w:r>
        <w:rPr>
          <w:rFonts w:hint="eastAsia" w:ascii="楷体" w:hAnsi="楷体" w:eastAsia="楷体"/>
          <w:szCs w:val="28"/>
        </w:rPr>
        <w:t>。</w:t>
      </w:r>
      <w:r>
        <w:rPr>
          <w:rFonts w:hint="eastAsia" w:ascii="楷体" w:hAnsi="楷体" w:eastAsia="楷体"/>
          <w:szCs w:val="28"/>
          <w:lang w:val="en-US" w:eastAsia="zh-CN"/>
        </w:rPr>
        <w:t>三次产业结构为24.1：33.9：42.0。</w:t>
      </w:r>
      <w:bookmarkStart w:id="0" w:name="_GoBack"/>
      <w:bookmarkEnd w:id="0"/>
    </w:p>
    <w:p>
      <w:pPr>
        <w:spacing w:line="380" w:lineRule="exact"/>
        <w:rPr>
          <w:rFonts w:hint="default" w:ascii="楷体" w:hAnsi="楷体" w:eastAsia="楷体"/>
          <w:szCs w:val="28"/>
          <w:lang w:val="en-US" w:eastAsia="zh-CN"/>
        </w:rPr>
      </w:pPr>
      <w:r>
        <w:rPr>
          <w:rFonts w:hint="eastAsia" w:ascii="楷体" w:hAnsi="楷体" w:eastAsia="楷体"/>
          <w:szCs w:val="28"/>
        </w:rPr>
        <w:t xml:space="preserve">  </w:t>
      </w:r>
      <w:r>
        <w:rPr>
          <w:rFonts w:hint="eastAsia" w:ascii="楷体" w:hAnsi="楷体" w:eastAsia="楷体"/>
          <w:b/>
          <w:szCs w:val="28"/>
        </w:rPr>
        <w:t xml:space="preserve"> </w:t>
      </w:r>
      <w:r>
        <w:rPr>
          <w:rFonts w:hint="eastAsia" w:ascii="楷体" w:hAnsi="楷体" w:eastAsia="楷体"/>
          <w:b/>
          <w:szCs w:val="28"/>
          <w:lang w:val="en-US" w:eastAsia="zh-CN"/>
        </w:rPr>
        <w:t xml:space="preserve"> 一、农业生产持续增长，茶叶产量保持较快增速。</w:t>
      </w:r>
      <w:r>
        <w:rPr>
          <w:rFonts w:hint="eastAsia" w:ascii="楷体" w:hAnsi="楷体" w:eastAsia="楷体"/>
          <w:szCs w:val="28"/>
          <w:lang w:val="en-US" w:eastAsia="zh-CN"/>
        </w:rPr>
        <w:t>2021年，全县农林牧渔业总产值134.82亿元，同比增长11.3%，两年平均增长8.7%。主要农畜产品产量稳定增长，蔬菜及食用菌、猪肉、禽肉、禽蛋、水产品产量分别增长2.4%、16.7%、7.5%、6.6%和3.1%，茶叶产量同比增长24.6%，增幅比去年提高9.7个百分点。生猪存栏14.49万头，同比增长25.5%，其中，能繁殖母猪存栏1.46万头，同比下降7.1%，粮食产量14.87万吨，同比下降1.1%。</w:t>
      </w:r>
    </w:p>
    <w:p>
      <w:pPr>
        <w:ind w:firstLine="422" w:firstLineChars="200"/>
        <w:rPr>
          <w:rFonts w:hint="eastAsia" w:ascii="楷体" w:hAnsi="楷体" w:eastAsia="楷体"/>
          <w:szCs w:val="28"/>
          <w:lang w:val="en-US" w:eastAsia="zh-CN"/>
        </w:rPr>
      </w:pPr>
      <w:r>
        <w:rPr>
          <w:rFonts w:hint="eastAsia" w:ascii="楷体" w:hAnsi="楷体" w:eastAsia="楷体"/>
          <w:b/>
          <w:szCs w:val="28"/>
          <w:lang w:val="en-US" w:eastAsia="zh-CN"/>
        </w:rPr>
        <w:t>二、工业生产稳步增长，燃气生产和供应业增速较快</w:t>
      </w:r>
      <w:r>
        <w:rPr>
          <w:rFonts w:hint="eastAsia" w:ascii="楷体" w:hAnsi="楷体" w:eastAsia="楷体"/>
          <w:b/>
          <w:szCs w:val="28"/>
        </w:rPr>
        <w:t>。</w:t>
      </w:r>
      <w:r>
        <w:rPr>
          <w:rFonts w:hint="eastAsia" w:ascii="楷体" w:hAnsi="楷体" w:eastAsia="楷体"/>
          <w:szCs w:val="28"/>
        </w:rPr>
        <w:t xml:space="preserve"> 20</w:t>
      </w:r>
      <w:r>
        <w:rPr>
          <w:rFonts w:hint="eastAsia" w:ascii="楷体" w:hAnsi="楷体" w:eastAsia="楷体"/>
          <w:szCs w:val="28"/>
          <w:lang w:val="en-US" w:eastAsia="zh-CN"/>
        </w:rPr>
        <w:t>21</w:t>
      </w:r>
      <w:r>
        <w:rPr>
          <w:rFonts w:hint="eastAsia" w:ascii="楷体" w:hAnsi="楷体" w:eastAsia="楷体"/>
          <w:szCs w:val="28"/>
        </w:rPr>
        <w:t>年全县规上工业产值</w:t>
      </w:r>
      <w:r>
        <w:rPr>
          <w:rFonts w:hint="eastAsia" w:ascii="楷体" w:hAnsi="楷体" w:eastAsia="楷体"/>
          <w:szCs w:val="28"/>
          <w:lang w:val="en-US" w:eastAsia="zh-CN"/>
        </w:rPr>
        <w:t>286.35</w:t>
      </w:r>
      <w:r>
        <w:rPr>
          <w:rFonts w:hint="eastAsia" w:ascii="楷体" w:hAnsi="楷体" w:eastAsia="楷体"/>
          <w:szCs w:val="28"/>
        </w:rPr>
        <w:t>亿元，同比增长</w:t>
      </w:r>
      <w:r>
        <w:rPr>
          <w:rFonts w:hint="eastAsia" w:ascii="楷体" w:hAnsi="楷体" w:eastAsia="楷体"/>
          <w:szCs w:val="28"/>
          <w:lang w:val="en-US" w:eastAsia="zh-CN"/>
        </w:rPr>
        <w:t>13.2</w:t>
      </w:r>
      <w:r>
        <w:rPr>
          <w:rFonts w:hint="eastAsia" w:ascii="楷体" w:hAnsi="楷体" w:eastAsia="楷体"/>
          <w:szCs w:val="28"/>
        </w:rPr>
        <w:t>%，规上工业增加值</w:t>
      </w:r>
      <w:r>
        <w:rPr>
          <w:rFonts w:hint="eastAsia" w:ascii="楷体" w:hAnsi="楷体" w:eastAsia="楷体"/>
          <w:szCs w:val="28"/>
          <w:lang w:val="en-US" w:eastAsia="zh-CN"/>
        </w:rPr>
        <w:t>63.91</w:t>
      </w:r>
      <w:r>
        <w:rPr>
          <w:rFonts w:hint="eastAsia" w:ascii="楷体" w:hAnsi="楷体" w:eastAsia="楷体"/>
          <w:szCs w:val="28"/>
        </w:rPr>
        <w:t>亿元，同比增长</w:t>
      </w:r>
      <w:r>
        <w:rPr>
          <w:rFonts w:hint="eastAsia" w:ascii="楷体" w:hAnsi="楷体" w:eastAsia="楷体"/>
          <w:szCs w:val="28"/>
          <w:lang w:val="en-US" w:eastAsia="zh-CN"/>
        </w:rPr>
        <w:t>8.9</w:t>
      </w:r>
      <w:r>
        <w:rPr>
          <w:rFonts w:hint="eastAsia" w:ascii="楷体" w:hAnsi="楷体" w:eastAsia="楷体"/>
          <w:szCs w:val="28"/>
        </w:rPr>
        <w:t>%。</w:t>
      </w:r>
      <w:r>
        <w:rPr>
          <w:rFonts w:hint="eastAsia" w:ascii="楷体" w:hAnsi="楷体" w:eastAsia="楷体"/>
          <w:szCs w:val="28"/>
          <w:lang w:val="en-US" w:eastAsia="zh-CN"/>
        </w:rPr>
        <w:t>两年平均增长3.9%。分三大门类看，采矿业同比增长16.1%；制造业同比增长7.4%；电力、热力、燃气及水生产和供应业同比增长9.9%。分行业看：五大支柱产业产值增速呈现四增一降，其中：电力生产产值71.60亿元,比去年同期增长15.6%；水族机电制造业产值26.66亿元，比去年同期增长0.84%，其中水族制造业产值18亿元，同比增长11.38%；食品制造加工业产值73.36亿元，比去年同期增长11.4%；燃气生产和供应业产值43.77亿元，比去年同期增长18.4%；陶瓷玻璃制品制造业产值10.20亿元，比去年同期下降8.8%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楷体" w:hAnsi="楷体" w:eastAsia="楷体"/>
          <w:szCs w:val="28"/>
          <w:lang w:val="en-US" w:eastAsia="zh-CN"/>
        </w:rPr>
      </w:pPr>
      <w:r>
        <w:rPr>
          <w:rFonts w:hint="eastAsia" w:ascii="楷体" w:hAnsi="楷体" w:eastAsia="楷体"/>
          <w:b/>
          <w:szCs w:val="28"/>
          <w:lang w:val="en-US" w:eastAsia="zh-CN"/>
        </w:rPr>
        <w:t xml:space="preserve"> 三、外贸进出口保持恢复态势。</w:t>
      </w:r>
      <w:r>
        <w:rPr>
          <w:rFonts w:hint="eastAsia" w:ascii="楷体" w:hAnsi="楷体" w:eastAsia="楷体"/>
          <w:szCs w:val="28"/>
          <w:lang w:val="en-US" w:eastAsia="zh-CN"/>
        </w:rPr>
        <w:t>2021年，全县外贸进出口总额84452万美元（业务口径），同比增长60.2%。两年平均下降3.0%。其中，出口总额49832万美元，同比增长30.8%，两年平均下降7.6%。进口总额34620万美元，同比增长136.6%，两年平均增长4.8%。主要五大类出口产品呈现不同程度增长，其中：水产食品类出口总额29862万美元，同比增长43.9%；其它食品类出口总额1226万美元，同比增长216.8%；陶瓷产品类出口总额6369万美元，同比增长6.0%；机电产品类出口总额6247万美元，同比增长16.7%；其它类出口总额6128万美元，同比增长11.1%。</w:t>
      </w:r>
    </w:p>
    <w:p>
      <w:pPr>
        <w:numPr>
          <w:ilvl w:val="0"/>
          <w:numId w:val="0"/>
        </w:numPr>
        <w:ind w:firstLine="422" w:firstLineChars="200"/>
        <w:rPr>
          <w:rFonts w:hint="default" w:ascii="楷体" w:hAnsi="楷体" w:eastAsia="楷体" w:cs="楷体"/>
          <w:szCs w:val="21"/>
          <w:lang w:val="en-US"/>
        </w:rPr>
      </w:pPr>
      <w:r>
        <w:rPr>
          <w:rFonts w:hint="eastAsia" w:ascii="楷体" w:hAnsi="楷体" w:eastAsia="楷体"/>
          <w:b/>
          <w:szCs w:val="28"/>
        </w:rPr>
        <w:t>四、</w:t>
      </w:r>
      <w:r>
        <w:rPr>
          <w:rFonts w:hint="eastAsia" w:ascii="楷体" w:hAnsi="楷体" w:eastAsia="楷体" w:cs="楷体"/>
          <w:b/>
          <w:bCs/>
          <w:szCs w:val="21"/>
          <w:lang w:eastAsia="zh-CN"/>
        </w:rPr>
        <w:t>固定资产投资</w:t>
      </w:r>
      <w:r>
        <w:rPr>
          <w:rFonts w:hint="eastAsia" w:ascii="楷体" w:hAnsi="楷体" w:eastAsia="楷体" w:cs="楷体"/>
          <w:b/>
          <w:bCs/>
          <w:szCs w:val="21"/>
          <w:lang w:val="en-US" w:eastAsia="zh-CN"/>
        </w:rPr>
        <w:t>平稳增长，房地产开发投资增速加快</w:t>
      </w:r>
      <w:r>
        <w:rPr>
          <w:rFonts w:hint="eastAsia" w:ascii="楷体" w:hAnsi="楷体" w:eastAsia="楷体" w:cs="楷体"/>
          <w:b/>
          <w:bCs/>
          <w:szCs w:val="21"/>
          <w:lang w:eastAsia="zh-CN"/>
        </w:rPr>
        <w:t>。</w:t>
      </w:r>
      <w:r>
        <w:rPr>
          <w:rFonts w:hint="eastAsia" w:ascii="楷体" w:hAnsi="楷体" w:eastAsia="楷体" w:cs="楷体"/>
          <w:szCs w:val="21"/>
          <w:lang w:val="en-US" w:eastAsia="zh-CN"/>
        </w:rPr>
        <w:t>2021年</w:t>
      </w:r>
      <w:r>
        <w:rPr>
          <w:rFonts w:hint="eastAsia" w:ascii="楷体" w:hAnsi="楷体" w:eastAsia="楷体" w:cs="楷体"/>
          <w:szCs w:val="21"/>
        </w:rPr>
        <w:t>，全县全社会固定资产投资总额</w:t>
      </w:r>
      <w:r>
        <w:rPr>
          <w:rFonts w:hint="eastAsia" w:ascii="楷体" w:hAnsi="楷体" w:eastAsia="楷体" w:cs="楷体"/>
          <w:szCs w:val="21"/>
          <w:lang w:val="en-US" w:eastAsia="zh-CN"/>
        </w:rPr>
        <w:t>131.72</w:t>
      </w:r>
      <w:r>
        <w:rPr>
          <w:rFonts w:hint="eastAsia" w:ascii="楷体" w:hAnsi="楷体" w:eastAsia="楷体" w:cs="楷体"/>
          <w:szCs w:val="21"/>
        </w:rPr>
        <w:t>亿元，同比</w:t>
      </w:r>
      <w:r>
        <w:rPr>
          <w:rFonts w:hint="eastAsia" w:ascii="楷体" w:hAnsi="楷体" w:eastAsia="楷体" w:cs="楷体"/>
          <w:szCs w:val="21"/>
          <w:lang w:eastAsia="zh-CN"/>
        </w:rPr>
        <w:t>增长</w:t>
      </w:r>
      <w:r>
        <w:rPr>
          <w:rFonts w:hint="eastAsia" w:ascii="楷体" w:hAnsi="楷体" w:eastAsia="楷体" w:cs="楷体"/>
          <w:szCs w:val="21"/>
          <w:lang w:val="en-US" w:eastAsia="zh-CN"/>
        </w:rPr>
        <w:t>7.19</w:t>
      </w:r>
      <w:r>
        <w:rPr>
          <w:rFonts w:hint="eastAsia" w:ascii="楷体" w:hAnsi="楷体" w:eastAsia="楷体" w:cs="楷体"/>
          <w:szCs w:val="21"/>
        </w:rPr>
        <w:t>%</w:t>
      </w:r>
      <w:r>
        <w:rPr>
          <w:rFonts w:hint="eastAsia" w:ascii="楷体" w:hAnsi="楷体" w:eastAsia="楷体" w:cs="楷体"/>
          <w:szCs w:val="21"/>
          <w:lang w:eastAsia="zh-CN"/>
        </w:rPr>
        <w:t>，两年平均增长</w:t>
      </w:r>
      <w:r>
        <w:rPr>
          <w:rFonts w:hint="eastAsia" w:ascii="楷体" w:hAnsi="楷体" w:eastAsia="楷体" w:cs="楷体"/>
          <w:szCs w:val="21"/>
          <w:lang w:val="en-US" w:eastAsia="zh-CN"/>
        </w:rPr>
        <w:t>4.6%。</w:t>
      </w:r>
      <w:r>
        <w:rPr>
          <w:rFonts w:hint="eastAsia" w:ascii="楷体" w:hAnsi="楷体" w:eastAsia="楷体" w:cs="楷体"/>
          <w:szCs w:val="21"/>
        </w:rPr>
        <w:t>其中</w:t>
      </w:r>
      <w:r>
        <w:rPr>
          <w:rFonts w:hint="eastAsia" w:ascii="楷体" w:hAnsi="楷体" w:eastAsia="楷体" w:cs="楷体"/>
          <w:szCs w:val="21"/>
          <w:lang w:eastAsia="zh-CN"/>
        </w:rPr>
        <w:t>基础设施投资总额</w:t>
      </w:r>
      <w:r>
        <w:rPr>
          <w:rFonts w:hint="eastAsia" w:ascii="楷体" w:hAnsi="楷体" w:eastAsia="楷体" w:cs="楷体"/>
          <w:szCs w:val="21"/>
          <w:lang w:val="en-US" w:eastAsia="zh-CN"/>
        </w:rPr>
        <w:t>53.52</w:t>
      </w:r>
      <w:r>
        <w:rPr>
          <w:rFonts w:hint="eastAsia" w:ascii="楷体" w:hAnsi="楷体" w:eastAsia="楷体" w:cs="楷体"/>
          <w:szCs w:val="21"/>
        </w:rPr>
        <w:t>亿元</w:t>
      </w:r>
      <w:r>
        <w:rPr>
          <w:rFonts w:hint="eastAsia" w:ascii="楷体" w:hAnsi="楷体" w:eastAsia="楷体" w:cs="楷体"/>
          <w:szCs w:val="21"/>
          <w:lang w:eastAsia="zh-CN"/>
        </w:rPr>
        <w:t>，同比下降</w:t>
      </w:r>
      <w:r>
        <w:rPr>
          <w:rFonts w:hint="eastAsia" w:ascii="楷体" w:hAnsi="楷体" w:eastAsia="楷体" w:cs="楷体"/>
          <w:szCs w:val="21"/>
          <w:lang w:val="en-US" w:eastAsia="zh-CN"/>
        </w:rPr>
        <w:t>16.8%；第一产业投资总额7.03亿元，同比增长10.3倍；第二产业（工业）投资总额32.25亿元，同比增长33.58%，其中工业技术改造投资6.20亿元，同比增长67.80%，增幅比1-11月份提高23.79个百分点；第三产业投资92.43亿元，同比下降5.79%。房地产开发投资29.81亿元，同比增长3.95%，增幅比1-11月份提高1.45个百分点，房地产销售面积229217平方米，同比增长80.97%，增幅比1-11月份提高22.57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楷体" w:hAnsi="楷体" w:eastAsia="楷体" w:cs="楷体"/>
          <w:szCs w:val="21"/>
          <w:lang w:val="en-US" w:eastAsia="zh-CN"/>
        </w:rPr>
      </w:pPr>
      <w:r>
        <w:rPr>
          <w:rFonts w:hint="eastAsia" w:ascii="楷体" w:hAnsi="楷体" w:eastAsia="楷体"/>
          <w:b/>
          <w:szCs w:val="28"/>
        </w:rPr>
        <w:t>五、</w:t>
      </w:r>
      <w:r>
        <w:rPr>
          <w:rFonts w:hint="eastAsia" w:ascii="楷体" w:hAnsi="楷体" w:eastAsia="楷体" w:cs="楷体"/>
          <w:b/>
          <w:bCs/>
          <w:szCs w:val="21"/>
          <w:lang w:eastAsia="zh-CN"/>
        </w:rPr>
        <w:t>城乡消费持续恢复，批发业商品销售总额增长较快</w:t>
      </w:r>
      <w:r>
        <w:rPr>
          <w:rFonts w:hint="eastAsia" w:ascii="楷体" w:hAnsi="楷体" w:eastAsia="楷体"/>
          <w:b/>
          <w:szCs w:val="28"/>
        </w:rPr>
        <w:t>。</w:t>
      </w:r>
      <w:r>
        <w:rPr>
          <w:rFonts w:hint="eastAsia" w:ascii="楷体" w:hAnsi="楷体" w:eastAsia="楷体"/>
          <w:szCs w:val="28"/>
        </w:rPr>
        <w:t>20</w:t>
      </w:r>
      <w:r>
        <w:rPr>
          <w:rFonts w:hint="eastAsia" w:ascii="楷体" w:hAnsi="楷体" w:eastAsia="楷体"/>
          <w:szCs w:val="28"/>
          <w:lang w:val="en-US" w:eastAsia="zh-CN"/>
        </w:rPr>
        <w:t>21</w:t>
      </w:r>
      <w:r>
        <w:rPr>
          <w:rFonts w:hint="eastAsia" w:ascii="楷体" w:hAnsi="楷体" w:eastAsia="楷体"/>
          <w:szCs w:val="28"/>
        </w:rPr>
        <w:t>年，</w:t>
      </w:r>
      <w:r>
        <w:rPr>
          <w:rFonts w:hint="eastAsia" w:ascii="楷体_GB2312" w:hAnsi="华文楷体" w:eastAsia="楷体_GB2312"/>
          <w:szCs w:val="21"/>
        </w:rPr>
        <w:t>全县社会消费品零售总额</w:t>
      </w:r>
      <w:r>
        <w:rPr>
          <w:rFonts w:hint="eastAsia" w:ascii="楷体_GB2312" w:hAnsi="华文楷体" w:eastAsia="楷体_GB2312"/>
          <w:szCs w:val="21"/>
          <w:lang w:val="en-US" w:eastAsia="zh-CN"/>
        </w:rPr>
        <w:t>104.72亿元，</w:t>
      </w:r>
      <w:r>
        <w:rPr>
          <w:rFonts w:hint="eastAsia" w:ascii="楷体_GB2312" w:hAnsi="华文楷体" w:eastAsia="楷体_GB2312"/>
          <w:szCs w:val="21"/>
        </w:rPr>
        <w:t>同比</w:t>
      </w:r>
      <w:r>
        <w:rPr>
          <w:rFonts w:hint="eastAsia" w:ascii="楷体_GB2312" w:hAnsi="华文楷体" w:eastAsia="楷体_GB2312"/>
          <w:szCs w:val="21"/>
          <w:lang w:eastAsia="zh-CN"/>
        </w:rPr>
        <w:t>增长</w:t>
      </w:r>
      <w:r>
        <w:rPr>
          <w:rFonts w:hint="eastAsia" w:ascii="楷体_GB2312" w:hAnsi="华文楷体" w:eastAsia="楷体_GB2312"/>
          <w:szCs w:val="21"/>
          <w:lang w:val="en-US" w:eastAsia="zh-CN"/>
        </w:rPr>
        <w:t>9.1</w:t>
      </w:r>
      <w:r>
        <w:rPr>
          <w:rFonts w:hint="eastAsia" w:ascii="楷体_GB2312" w:hAnsi="华文楷体" w:eastAsia="楷体_GB2312"/>
          <w:szCs w:val="21"/>
        </w:rPr>
        <w:t>%</w:t>
      </w:r>
      <w:r>
        <w:rPr>
          <w:rFonts w:hint="eastAsia" w:ascii="楷体_GB2312" w:hAnsi="华文楷体" w:eastAsia="楷体_GB2312"/>
          <w:szCs w:val="21"/>
          <w:lang w:eastAsia="zh-CN"/>
        </w:rPr>
        <w:t>，两年平均下降</w:t>
      </w:r>
      <w:r>
        <w:rPr>
          <w:rFonts w:hint="eastAsia" w:ascii="楷体_GB2312" w:hAnsi="华文楷体" w:eastAsia="楷体_GB2312"/>
          <w:szCs w:val="21"/>
          <w:lang w:val="en-US" w:eastAsia="zh-CN"/>
        </w:rPr>
        <w:t>0.31%。</w:t>
      </w:r>
      <w:r>
        <w:rPr>
          <w:rFonts w:hint="eastAsia" w:ascii="楷体_GB2312" w:hAnsi="华文楷体" w:eastAsia="楷体_GB2312"/>
          <w:szCs w:val="21"/>
        </w:rPr>
        <w:t>批发业</w:t>
      </w:r>
      <w:r>
        <w:rPr>
          <w:rFonts w:hint="eastAsia" w:ascii="楷体_GB2312" w:hAnsi="华文楷体" w:eastAsia="楷体_GB2312"/>
          <w:szCs w:val="21"/>
          <w:lang w:eastAsia="zh-CN"/>
        </w:rPr>
        <w:t>商品销售总额</w:t>
      </w:r>
      <w:r>
        <w:rPr>
          <w:rFonts w:hint="eastAsia" w:ascii="楷体_GB2312" w:hAnsi="华文楷体" w:eastAsia="楷体_GB2312"/>
          <w:szCs w:val="21"/>
          <w:lang w:val="en-US" w:eastAsia="zh-CN"/>
        </w:rPr>
        <w:t>44.81亿元，</w:t>
      </w:r>
      <w:r>
        <w:rPr>
          <w:rFonts w:hint="eastAsia" w:ascii="楷体_GB2312" w:hAnsi="华文楷体" w:eastAsia="楷体_GB2312"/>
          <w:szCs w:val="21"/>
        </w:rPr>
        <w:t>同比</w:t>
      </w:r>
      <w:r>
        <w:rPr>
          <w:rFonts w:hint="eastAsia" w:ascii="楷体_GB2312" w:hAnsi="华文楷体" w:eastAsia="楷体_GB2312"/>
          <w:szCs w:val="21"/>
          <w:lang w:eastAsia="zh-CN"/>
        </w:rPr>
        <w:t>增长</w:t>
      </w:r>
      <w:r>
        <w:rPr>
          <w:rFonts w:hint="eastAsia" w:ascii="楷体_GB2312" w:hAnsi="华文楷体" w:eastAsia="楷体_GB2312"/>
          <w:szCs w:val="21"/>
          <w:lang w:val="en-US" w:eastAsia="zh-CN"/>
        </w:rPr>
        <w:t>40.0</w:t>
      </w:r>
      <w:r>
        <w:rPr>
          <w:rFonts w:hint="eastAsia" w:ascii="楷体_GB2312" w:hAnsi="华文楷体" w:eastAsia="楷体_GB2312"/>
          <w:szCs w:val="21"/>
        </w:rPr>
        <w:t>%</w:t>
      </w:r>
      <w:r>
        <w:rPr>
          <w:rFonts w:hint="eastAsia" w:ascii="楷体_GB2312" w:hAnsi="华文楷体" w:eastAsia="楷体_GB2312"/>
          <w:szCs w:val="21"/>
          <w:lang w:eastAsia="zh-CN"/>
        </w:rPr>
        <w:t>，两年平均增长</w:t>
      </w:r>
      <w:r>
        <w:rPr>
          <w:rFonts w:hint="eastAsia" w:ascii="楷体_GB2312" w:hAnsi="华文楷体" w:eastAsia="楷体_GB2312"/>
          <w:szCs w:val="21"/>
          <w:lang w:val="en-US" w:eastAsia="zh-CN"/>
        </w:rPr>
        <w:t>17.97</w:t>
      </w:r>
      <w:r>
        <w:rPr>
          <w:rFonts w:hint="eastAsia" w:ascii="楷体_GB2312" w:hAnsi="华文楷体" w:eastAsia="楷体_GB2312"/>
          <w:szCs w:val="21"/>
          <w:lang w:eastAsia="zh-CN"/>
        </w:rPr>
        <w:t>；</w:t>
      </w:r>
      <w:r>
        <w:rPr>
          <w:rFonts w:hint="eastAsia" w:ascii="楷体_GB2312" w:hAnsi="华文楷体" w:eastAsia="楷体_GB2312"/>
          <w:szCs w:val="21"/>
        </w:rPr>
        <w:t>零售业</w:t>
      </w:r>
      <w:r>
        <w:rPr>
          <w:rFonts w:hint="eastAsia" w:ascii="楷体_GB2312" w:hAnsi="华文楷体" w:eastAsia="楷体_GB2312"/>
          <w:szCs w:val="21"/>
          <w:lang w:eastAsia="zh-CN"/>
        </w:rPr>
        <w:t>商品销售总额</w:t>
      </w:r>
      <w:r>
        <w:rPr>
          <w:rFonts w:hint="eastAsia" w:ascii="楷体_GB2312" w:hAnsi="华文楷体" w:eastAsia="楷体_GB2312"/>
          <w:szCs w:val="21"/>
          <w:lang w:val="en-US" w:eastAsia="zh-CN"/>
        </w:rPr>
        <w:t>65.01亿元，</w:t>
      </w:r>
      <w:r>
        <w:rPr>
          <w:rFonts w:hint="eastAsia" w:ascii="楷体_GB2312" w:hAnsi="华文楷体" w:eastAsia="楷体_GB2312"/>
          <w:szCs w:val="21"/>
        </w:rPr>
        <w:t>同比</w:t>
      </w:r>
      <w:r>
        <w:rPr>
          <w:rFonts w:hint="eastAsia" w:ascii="楷体_GB2312" w:hAnsi="华文楷体" w:eastAsia="楷体_GB2312"/>
          <w:szCs w:val="21"/>
          <w:lang w:eastAsia="zh-CN"/>
        </w:rPr>
        <w:t>增长</w:t>
      </w:r>
      <w:r>
        <w:rPr>
          <w:rFonts w:hint="eastAsia" w:ascii="楷体_GB2312" w:hAnsi="华文楷体" w:eastAsia="楷体_GB2312"/>
          <w:szCs w:val="21"/>
          <w:lang w:val="en-US" w:eastAsia="zh-CN"/>
        </w:rPr>
        <w:t>15.7</w:t>
      </w:r>
      <w:r>
        <w:rPr>
          <w:rFonts w:hint="eastAsia" w:ascii="楷体_GB2312" w:hAnsi="华文楷体" w:eastAsia="楷体_GB2312"/>
          <w:szCs w:val="21"/>
        </w:rPr>
        <w:t>%</w:t>
      </w:r>
      <w:r>
        <w:rPr>
          <w:rFonts w:hint="eastAsia" w:ascii="楷体_GB2312" w:hAnsi="华文楷体" w:eastAsia="楷体_GB2312"/>
          <w:szCs w:val="21"/>
          <w:lang w:eastAsia="zh-CN"/>
        </w:rPr>
        <w:t>，两年平均增长</w:t>
      </w:r>
      <w:r>
        <w:rPr>
          <w:rFonts w:hint="eastAsia" w:ascii="楷体_GB2312" w:hAnsi="华文楷体" w:eastAsia="楷体_GB2312"/>
          <w:szCs w:val="21"/>
          <w:lang w:val="en-US" w:eastAsia="zh-CN"/>
        </w:rPr>
        <w:t>4.23%；</w:t>
      </w:r>
      <w:r>
        <w:rPr>
          <w:rFonts w:hint="eastAsia" w:ascii="楷体_GB2312" w:hAnsi="华文楷体" w:eastAsia="楷体_GB2312"/>
          <w:szCs w:val="21"/>
        </w:rPr>
        <w:t>住宿业营业额</w:t>
      </w:r>
      <w:r>
        <w:rPr>
          <w:rFonts w:hint="eastAsia" w:ascii="楷体_GB2312" w:hAnsi="华文楷体" w:eastAsia="楷体_GB2312"/>
          <w:szCs w:val="21"/>
          <w:lang w:val="en-US" w:eastAsia="zh-CN"/>
        </w:rPr>
        <w:t>0.65亿元，</w:t>
      </w:r>
      <w:r>
        <w:rPr>
          <w:rFonts w:hint="eastAsia" w:ascii="楷体_GB2312" w:hAnsi="华文楷体" w:eastAsia="楷体_GB2312"/>
          <w:szCs w:val="21"/>
        </w:rPr>
        <w:t>同比</w:t>
      </w:r>
      <w:r>
        <w:rPr>
          <w:rFonts w:hint="eastAsia" w:ascii="楷体_GB2312" w:hAnsi="华文楷体" w:eastAsia="楷体_GB2312"/>
          <w:szCs w:val="21"/>
          <w:lang w:eastAsia="zh-CN"/>
        </w:rPr>
        <w:t>增长</w:t>
      </w:r>
      <w:r>
        <w:rPr>
          <w:rFonts w:hint="eastAsia" w:ascii="楷体_GB2312" w:hAnsi="华文楷体" w:eastAsia="楷体_GB2312"/>
          <w:szCs w:val="21"/>
          <w:lang w:val="en-US" w:eastAsia="zh-CN"/>
        </w:rPr>
        <w:t>10.2%，两年平均下降6.75%</w:t>
      </w:r>
      <w:r>
        <w:rPr>
          <w:rFonts w:hint="eastAsia" w:ascii="楷体_GB2312" w:hAnsi="华文楷体" w:eastAsia="楷体_GB2312"/>
          <w:szCs w:val="21"/>
          <w:lang w:eastAsia="zh-CN"/>
        </w:rPr>
        <w:t>；</w:t>
      </w:r>
      <w:r>
        <w:rPr>
          <w:rFonts w:hint="eastAsia" w:ascii="楷体_GB2312" w:hAnsi="华文楷体" w:eastAsia="楷体_GB2312"/>
          <w:szCs w:val="21"/>
        </w:rPr>
        <w:t>餐饮业营业额</w:t>
      </w:r>
      <w:r>
        <w:rPr>
          <w:rFonts w:hint="eastAsia" w:ascii="楷体_GB2312" w:hAnsi="华文楷体" w:eastAsia="楷体_GB2312"/>
          <w:szCs w:val="21"/>
          <w:lang w:val="en-US" w:eastAsia="zh-CN"/>
        </w:rPr>
        <w:t>10.66万元，</w:t>
      </w:r>
      <w:r>
        <w:rPr>
          <w:rFonts w:hint="eastAsia" w:ascii="楷体_GB2312" w:hAnsi="华文楷体" w:eastAsia="楷体_GB2312"/>
          <w:szCs w:val="21"/>
        </w:rPr>
        <w:t>同比</w:t>
      </w:r>
      <w:r>
        <w:rPr>
          <w:rFonts w:hint="eastAsia" w:ascii="楷体_GB2312" w:hAnsi="华文楷体" w:eastAsia="楷体_GB2312"/>
          <w:szCs w:val="21"/>
          <w:lang w:eastAsia="zh-CN"/>
        </w:rPr>
        <w:t>增长</w:t>
      </w:r>
      <w:r>
        <w:rPr>
          <w:rFonts w:hint="eastAsia" w:ascii="楷体_GB2312" w:hAnsi="华文楷体" w:eastAsia="楷体_GB2312"/>
          <w:szCs w:val="21"/>
          <w:lang w:val="en-US" w:eastAsia="zh-CN"/>
        </w:rPr>
        <w:t>23.3</w:t>
      </w:r>
      <w:r>
        <w:rPr>
          <w:rFonts w:hint="eastAsia" w:ascii="楷体_GB2312" w:hAnsi="华文楷体" w:eastAsia="楷体_GB2312"/>
          <w:szCs w:val="21"/>
        </w:rPr>
        <w:t>%</w:t>
      </w:r>
      <w:r>
        <w:rPr>
          <w:rFonts w:hint="eastAsia" w:ascii="楷体_GB2312" w:hAnsi="华文楷体" w:eastAsia="楷体_GB2312"/>
          <w:szCs w:val="21"/>
          <w:lang w:eastAsia="zh-CN"/>
        </w:rPr>
        <w:t>，两年平均下降</w:t>
      </w:r>
      <w:r>
        <w:rPr>
          <w:rFonts w:hint="eastAsia" w:ascii="楷体_GB2312" w:hAnsi="华文楷体" w:eastAsia="楷体_GB2312"/>
          <w:szCs w:val="21"/>
          <w:lang w:val="en-US" w:eastAsia="zh-CN"/>
        </w:rPr>
        <w:t>1.18%</w:t>
      </w:r>
      <w:r>
        <w:rPr>
          <w:rFonts w:hint="eastAsia" w:ascii="楷体" w:hAnsi="楷体" w:eastAsia="楷体" w:cs="楷体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b/>
          <w:szCs w:val="21"/>
        </w:rPr>
        <w:t>六、财</w:t>
      </w:r>
      <w:r>
        <w:rPr>
          <w:rFonts w:hint="eastAsia" w:ascii="楷体" w:hAnsi="楷体" w:eastAsia="楷体"/>
          <w:b/>
          <w:szCs w:val="21"/>
          <w:lang w:eastAsia="zh-CN"/>
        </w:rPr>
        <w:t>政</w:t>
      </w:r>
      <w:r>
        <w:rPr>
          <w:rFonts w:hint="eastAsia" w:ascii="楷体" w:hAnsi="楷体" w:eastAsia="楷体"/>
          <w:b/>
          <w:szCs w:val="21"/>
        </w:rPr>
        <w:t>收入</w:t>
      </w:r>
      <w:r>
        <w:rPr>
          <w:rFonts w:hint="eastAsia" w:ascii="楷体" w:hAnsi="楷体" w:eastAsia="楷体"/>
          <w:b/>
          <w:szCs w:val="21"/>
          <w:lang w:eastAsia="zh-CN"/>
        </w:rPr>
        <w:t>全年实现较快增长，税收收入</w:t>
      </w:r>
      <w:r>
        <w:rPr>
          <w:rFonts w:hint="eastAsia" w:ascii="楷体" w:hAnsi="楷体" w:eastAsia="楷体" w:cs="楷体"/>
          <w:b/>
          <w:bCs/>
          <w:szCs w:val="21"/>
          <w:lang w:eastAsia="zh-CN"/>
        </w:rPr>
        <w:t>小幅度下降</w:t>
      </w:r>
      <w:r>
        <w:rPr>
          <w:rFonts w:hint="eastAsia" w:ascii="楷体" w:hAnsi="楷体" w:eastAsia="楷体"/>
          <w:b/>
          <w:szCs w:val="21"/>
        </w:rPr>
        <w:t>。</w:t>
      </w:r>
      <w:r>
        <w:rPr>
          <w:rFonts w:hint="eastAsia" w:ascii="楷体" w:hAnsi="楷体" w:eastAsia="楷体"/>
          <w:szCs w:val="21"/>
        </w:rPr>
        <w:t>20</w:t>
      </w:r>
      <w:r>
        <w:rPr>
          <w:rFonts w:hint="eastAsia" w:ascii="楷体" w:hAnsi="楷体" w:eastAsia="楷体"/>
          <w:szCs w:val="21"/>
          <w:lang w:val="en-US" w:eastAsia="zh-CN"/>
        </w:rPr>
        <w:t>21</w:t>
      </w:r>
      <w:r>
        <w:rPr>
          <w:rFonts w:hint="eastAsia" w:ascii="楷体" w:hAnsi="楷体" w:eastAsia="楷体"/>
          <w:szCs w:val="21"/>
        </w:rPr>
        <w:t>年，全县一般公共预算收入</w:t>
      </w:r>
      <w:r>
        <w:rPr>
          <w:rFonts w:hint="eastAsia" w:ascii="楷体" w:hAnsi="楷体" w:eastAsia="楷体"/>
          <w:szCs w:val="21"/>
          <w:lang w:val="en-US" w:eastAsia="zh-CN"/>
        </w:rPr>
        <w:t>9.26</w:t>
      </w:r>
      <w:r>
        <w:rPr>
          <w:rFonts w:hint="eastAsia" w:ascii="楷体" w:hAnsi="楷体" w:eastAsia="楷体"/>
          <w:szCs w:val="21"/>
        </w:rPr>
        <w:t>亿元，同比增长</w:t>
      </w:r>
      <w:r>
        <w:rPr>
          <w:rFonts w:hint="eastAsia" w:ascii="楷体" w:hAnsi="楷体" w:eastAsia="楷体"/>
          <w:szCs w:val="21"/>
          <w:lang w:val="en-US" w:eastAsia="zh-CN"/>
        </w:rPr>
        <w:t>10.3</w:t>
      </w:r>
      <w:r>
        <w:rPr>
          <w:rFonts w:hint="eastAsia" w:ascii="楷体" w:hAnsi="楷体" w:eastAsia="楷体"/>
          <w:szCs w:val="21"/>
        </w:rPr>
        <w:t>%</w:t>
      </w:r>
      <w:r>
        <w:rPr>
          <w:rFonts w:hint="eastAsia" w:ascii="楷体" w:hAnsi="楷体" w:eastAsia="楷体"/>
          <w:szCs w:val="21"/>
          <w:lang w:eastAsia="zh-CN"/>
        </w:rPr>
        <w:t>，</w:t>
      </w:r>
      <w:r>
        <w:rPr>
          <w:rFonts w:hint="eastAsia" w:ascii="楷体_GB2312" w:hAnsi="华文楷体" w:eastAsia="楷体_GB2312"/>
          <w:szCs w:val="21"/>
          <w:lang w:eastAsia="zh-CN"/>
        </w:rPr>
        <w:t>两年平均增长</w:t>
      </w:r>
      <w:r>
        <w:rPr>
          <w:rFonts w:hint="eastAsia" w:ascii="楷体_GB2312" w:hAnsi="华文楷体" w:eastAsia="楷体_GB2312"/>
          <w:szCs w:val="21"/>
          <w:lang w:val="en-US" w:eastAsia="zh-CN"/>
        </w:rPr>
        <w:t>5.7%</w:t>
      </w:r>
      <w:r>
        <w:rPr>
          <w:rFonts w:hint="eastAsia" w:ascii="楷体" w:hAnsi="楷体" w:eastAsia="楷体"/>
          <w:szCs w:val="21"/>
        </w:rPr>
        <w:t>。全县税收收入</w:t>
      </w:r>
      <w:r>
        <w:rPr>
          <w:rFonts w:hint="eastAsia" w:ascii="楷体" w:hAnsi="楷体" w:eastAsia="楷体"/>
          <w:szCs w:val="21"/>
          <w:lang w:val="en-US" w:eastAsia="zh-CN"/>
        </w:rPr>
        <w:t>15.98</w:t>
      </w:r>
      <w:r>
        <w:rPr>
          <w:rFonts w:hint="eastAsia" w:ascii="楷体" w:hAnsi="楷体" w:eastAsia="楷体"/>
          <w:szCs w:val="21"/>
        </w:rPr>
        <w:t>亿元，同比</w:t>
      </w:r>
      <w:r>
        <w:rPr>
          <w:rFonts w:hint="eastAsia" w:ascii="楷体" w:hAnsi="楷体" w:eastAsia="楷体"/>
          <w:szCs w:val="21"/>
          <w:lang w:eastAsia="zh-CN"/>
        </w:rPr>
        <w:t>下降</w:t>
      </w:r>
      <w:r>
        <w:rPr>
          <w:rFonts w:hint="eastAsia" w:ascii="楷体" w:hAnsi="楷体" w:eastAsia="楷体"/>
          <w:szCs w:val="21"/>
          <w:lang w:val="en-US" w:eastAsia="zh-CN"/>
        </w:rPr>
        <w:t>3.5</w:t>
      </w:r>
      <w:r>
        <w:rPr>
          <w:rFonts w:hint="eastAsia" w:ascii="楷体" w:hAnsi="楷体" w:eastAsia="楷体"/>
          <w:szCs w:val="21"/>
        </w:rPr>
        <w:t>%</w:t>
      </w:r>
      <w:r>
        <w:rPr>
          <w:rFonts w:hint="eastAsia" w:ascii="楷体" w:hAnsi="楷体" w:eastAsia="楷体"/>
          <w:szCs w:val="21"/>
          <w:lang w:eastAsia="zh-CN"/>
        </w:rPr>
        <w:t>，</w:t>
      </w:r>
      <w:r>
        <w:rPr>
          <w:rFonts w:hint="eastAsia" w:ascii="楷体_GB2312" w:hAnsi="华文楷体" w:eastAsia="楷体_GB2312"/>
          <w:szCs w:val="21"/>
          <w:lang w:val="en-US" w:eastAsia="zh-CN"/>
        </w:rPr>
        <w:t>两年平均下降1.85%</w:t>
      </w:r>
      <w:r>
        <w:rPr>
          <w:rFonts w:hint="eastAsia" w:ascii="楷体" w:hAnsi="楷体" w:eastAsia="楷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</w:pPr>
      <w:r>
        <w:rPr>
          <w:rFonts w:hint="eastAsia" w:ascii="楷体" w:hAnsi="楷体" w:eastAsia="楷体"/>
          <w:b/>
          <w:szCs w:val="21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zCs w:val="21"/>
          <w:lang w:eastAsia="zh-CN"/>
        </w:rPr>
        <w:t>七</w:t>
      </w:r>
      <w:r>
        <w:rPr>
          <w:rFonts w:hint="eastAsia" w:ascii="楷体" w:hAnsi="楷体" w:eastAsia="楷体"/>
          <w:b/>
          <w:szCs w:val="21"/>
        </w:rPr>
        <w:t>、</w:t>
      </w:r>
      <w:r>
        <w:rPr>
          <w:rFonts w:hint="eastAsia" w:ascii="楷体" w:hAnsi="楷体" w:eastAsia="楷体"/>
          <w:b/>
          <w:szCs w:val="21"/>
          <w:lang w:eastAsia="zh-CN"/>
        </w:rPr>
        <w:t>银行</w:t>
      </w:r>
      <w:r>
        <w:rPr>
          <w:rFonts w:hint="eastAsia" w:ascii="楷体" w:hAnsi="楷体" w:eastAsia="楷体" w:cs="楷体"/>
          <w:b/>
          <w:szCs w:val="21"/>
          <w:lang w:eastAsia="zh-CN"/>
        </w:rPr>
        <w:t>存款稳定增长，贷款增速加快</w:t>
      </w:r>
      <w:r>
        <w:rPr>
          <w:rFonts w:hint="eastAsia" w:ascii="楷体" w:hAnsi="楷体" w:eastAsia="楷体" w:cs="楷体"/>
          <w:b/>
          <w:szCs w:val="21"/>
        </w:rPr>
        <w:t>。</w:t>
      </w:r>
      <w:r>
        <w:rPr>
          <w:rFonts w:hint="eastAsia" w:ascii="楷体" w:hAnsi="楷体" w:eastAsia="楷体"/>
          <w:szCs w:val="21"/>
        </w:rPr>
        <w:t>20</w:t>
      </w:r>
      <w:r>
        <w:rPr>
          <w:rFonts w:hint="eastAsia" w:ascii="楷体" w:hAnsi="楷体" w:eastAsia="楷体"/>
          <w:szCs w:val="21"/>
          <w:lang w:val="en-US" w:eastAsia="zh-CN"/>
        </w:rPr>
        <w:t>21</w:t>
      </w:r>
      <w:r>
        <w:rPr>
          <w:rFonts w:hint="eastAsia" w:ascii="楷体" w:hAnsi="楷体" w:eastAsia="楷体"/>
          <w:szCs w:val="21"/>
        </w:rPr>
        <w:t>年，全县金融机构本外币存款余额</w:t>
      </w:r>
      <w:r>
        <w:rPr>
          <w:rFonts w:hint="eastAsia" w:ascii="楷体" w:hAnsi="楷体" w:eastAsia="楷体"/>
          <w:szCs w:val="21"/>
          <w:lang w:val="en-US" w:eastAsia="zh-CN"/>
        </w:rPr>
        <w:t>340.25</w:t>
      </w:r>
      <w:r>
        <w:rPr>
          <w:rFonts w:hint="eastAsia" w:ascii="楷体" w:hAnsi="楷体" w:eastAsia="楷体"/>
          <w:szCs w:val="21"/>
        </w:rPr>
        <w:t>亿元，</w:t>
      </w:r>
      <w:r>
        <w:rPr>
          <w:rFonts w:hint="eastAsia" w:ascii="楷体" w:hAnsi="楷体" w:eastAsia="楷体"/>
          <w:szCs w:val="21"/>
          <w:lang w:eastAsia="zh-CN"/>
        </w:rPr>
        <w:t>比年初增加</w:t>
      </w:r>
      <w:r>
        <w:rPr>
          <w:rFonts w:hint="eastAsia" w:ascii="楷体" w:hAnsi="楷体" w:eastAsia="楷体"/>
          <w:szCs w:val="21"/>
          <w:lang w:val="en-US" w:eastAsia="zh-CN"/>
        </w:rPr>
        <w:t>26.69</w:t>
      </w:r>
      <w:r>
        <w:rPr>
          <w:rFonts w:hint="eastAsia" w:ascii="楷体" w:hAnsi="楷体" w:eastAsia="楷体"/>
          <w:szCs w:val="21"/>
        </w:rPr>
        <w:t>亿元</w:t>
      </w:r>
      <w:r>
        <w:rPr>
          <w:rFonts w:hint="eastAsia" w:ascii="楷体" w:hAnsi="楷体" w:eastAsia="楷体"/>
          <w:szCs w:val="21"/>
          <w:lang w:eastAsia="zh-CN"/>
        </w:rPr>
        <w:t>，同比</w:t>
      </w:r>
      <w:r>
        <w:rPr>
          <w:rFonts w:hint="eastAsia" w:ascii="楷体" w:hAnsi="楷体" w:eastAsia="楷体"/>
          <w:szCs w:val="21"/>
        </w:rPr>
        <w:t>增长</w:t>
      </w:r>
      <w:r>
        <w:rPr>
          <w:rFonts w:hint="eastAsia" w:ascii="楷体" w:hAnsi="楷体" w:eastAsia="楷体"/>
          <w:szCs w:val="21"/>
          <w:lang w:val="en-US" w:eastAsia="zh-CN"/>
        </w:rPr>
        <w:t>8.51</w:t>
      </w:r>
      <w:r>
        <w:rPr>
          <w:rFonts w:hint="eastAsia" w:ascii="楷体" w:hAnsi="楷体" w:eastAsia="楷体"/>
          <w:szCs w:val="21"/>
        </w:rPr>
        <w:t>%</w:t>
      </w:r>
      <w:r>
        <w:rPr>
          <w:rFonts w:hint="eastAsia" w:ascii="楷体" w:hAnsi="楷体" w:eastAsia="楷体"/>
          <w:szCs w:val="21"/>
          <w:lang w:eastAsia="zh-CN"/>
        </w:rPr>
        <w:t>，增速比上月末加快</w:t>
      </w:r>
      <w:r>
        <w:rPr>
          <w:rFonts w:hint="eastAsia" w:ascii="楷体" w:hAnsi="楷体" w:eastAsia="楷体"/>
          <w:szCs w:val="21"/>
          <w:lang w:val="en-US" w:eastAsia="zh-CN"/>
        </w:rPr>
        <w:t>2.94个百分点。</w:t>
      </w:r>
      <w:r>
        <w:rPr>
          <w:rFonts w:hint="eastAsia" w:ascii="楷体" w:hAnsi="楷体" w:eastAsia="楷体"/>
          <w:szCs w:val="21"/>
        </w:rPr>
        <w:t>其中住户</w:t>
      </w:r>
      <w:r>
        <w:rPr>
          <w:rFonts w:hint="eastAsia" w:ascii="楷体" w:hAnsi="楷体" w:eastAsia="楷体"/>
          <w:szCs w:val="21"/>
          <w:lang w:eastAsia="zh-CN"/>
        </w:rPr>
        <w:t>人民币</w:t>
      </w:r>
      <w:r>
        <w:rPr>
          <w:rFonts w:hint="eastAsia" w:ascii="楷体" w:hAnsi="楷体" w:eastAsia="楷体"/>
          <w:szCs w:val="21"/>
        </w:rPr>
        <w:t>存款余额</w:t>
      </w:r>
      <w:r>
        <w:rPr>
          <w:rFonts w:hint="eastAsia" w:ascii="楷体" w:hAnsi="楷体" w:eastAsia="楷体"/>
          <w:szCs w:val="21"/>
          <w:lang w:val="en-US" w:eastAsia="zh-CN"/>
        </w:rPr>
        <w:t>247.04</w:t>
      </w:r>
      <w:r>
        <w:rPr>
          <w:rFonts w:hint="eastAsia" w:ascii="楷体" w:hAnsi="楷体" w:eastAsia="楷体"/>
          <w:szCs w:val="21"/>
        </w:rPr>
        <w:t>亿元，</w:t>
      </w:r>
      <w:r>
        <w:rPr>
          <w:rFonts w:hint="eastAsia" w:ascii="楷体" w:hAnsi="楷体" w:eastAsia="楷体"/>
          <w:szCs w:val="21"/>
          <w:lang w:eastAsia="zh-CN"/>
        </w:rPr>
        <w:t>比年初增加</w:t>
      </w:r>
      <w:r>
        <w:rPr>
          <w:rFonts w:hint="eastAsia" w:ascii="楷体" w:hAnsi="楷体" w:eastAsia="楷体"/>
          <w:szCs w:val="21"/>
          <w:lang w:val="en-US" w:eastAsia="zh-CN"/>
        </w:rPr>
        <w:t>20.97</w:t>
      </w:r>
      <w:r>
        <w:rPr>
          <w:rFonts w:hint="eastAsia" w:ascii="楷体" w:hAnsi="楷体" w:eastAsia="楷体"/>
          <w:szCs w:val="21"/>
        </w:rPr>
        <w:t>亿元</w:t>
      </w:r>
      <w:r>
        <w:rPr>
          <w:rFonts w:hint="eastAsia" w:ascii="楷体" w:hAnsi="楷体" w:eastAsia="楷体"/>
          <w:szCs w:val="21"/>
          <w:lang w:eastAsia="zh-CN"/>
        </w:rPr>
        <w:t>，同比</w:t>
      </w:r>
      <w:r>
        <w:rPr>
          <w:rFonts w:hint="eastAsia" w:ascii="楷体" w:hAnsi="楷体" w:eastAsia="楷体"/>
          <w:szCs w:val="21"/>
        </w:rPr>
        <w:t>增长</w:t>
      </w:r>
      <w:r>
        <w:rPr>
          <w:rFonts w:hint="eastAsia" w:ascii="楷体" w:hAnsi="楷体" w:eastAsia="楷体"/>
          <w:szCs w:val="21"/>
          <w:lang w:val="en-US" w:eastAsia="zh-CN"/>
        </w:rPr>
        <w:t>9.28</w:t>
      </w:r>
      <w:r>
        <w:rPr>
          <w:rFonts w:hint="eastAsia" w:ascii="楷体" w:hAnsi="楷体" w:eastAsia="楷体"/>
          <w:szCs w:val="21"/>
        </w:rPr>
        <w:t>%</w:t>
      </w:r>
      <w:r>
        <w:rPr>
          <w:rFonts w:hint="eastAsia" w:ascii="楷体" w:hAnsi="楷体" w:eastAsia="楷体"/>
          <w:szCs w:val="21"/>
          <w:lang w:eastAsia="zh-CN"/>
        </w:rPr>
        <w:t>，增速比上月末加快</w:t>
      </w:r>
      <w:r>
        <w:rPr>
          <w:rFonts w:hint="eastAsia" w:ascii="楷体" w:hAnsi="楷体" w:eastAsia="楷体"/>
          <w:szCs w:val="21"/>
          <w:lang w:val="en-US" w:eastAsia="zh-CN"/>
        </w:rPr>
        <w:t>0.78个百分点</w:t>
      </w:r>
      <w:r>
        <w:rPr>
          <w:rFonts w:hint="eastAsia" w:ascii="楷体" w:hAnsi="楷体" w:eastAsia="楷体"/>
          <w:szCs w:val="21"/>
        </w:rPr>
        <w:t>；金融机构本外币贷款余额</w:t>
      </w:r>
      <w:r>
        <w:rPr>
          <w:rFonts w:hint="eastAsia" w:ascii="楷体" w:hAnsi="楷体" w:eastAsia="楷体"/>
          <w:szCs w:val="21"/>
          <w:lang w:val="en-US" w:eastAsia="zh-CN"/>
        </w:rPr>
        <w:t>94.57</w:t>
      </w:r>
      <w:r>
        <w:rPr>
          <w:rFonts w:hint="eastAsia" w:ascii="楷体" w:hAnsi="楷体" w:eastAsia="楷体"/>
          <w:szCs w:val="21"/>
        </w:rPr>
        <w:t>亿元，</w:t>
      </w:r>
      <w:r>
        <w:rPr>
          <w:rFonts w:hint="eastAsia" w:ascii="楷体" w:hAnsi="楷体" w:eastAsia="楷体"/>
          <w:szCs w:val="21"/>
          <w:lang w:eastAsia="zh-CN"/>
        </w:rPr>
        <w:t>比年初增加</w:t>
      </w:r>
      <w:r>
        <w:rPr>
          <w:rFonts w:hint="eastAsia" w:ascii="楷体" w:hAnsi="楷体" w:eastAsia="楷体"/>
          <w:szCs w:val="21"/>
          <w:lang w:val="en-US" w:eastAsia="zh-CN"/>
        </w:rPr>
        <w:t>26.28</w:t>
      </w:r>
      <w:r>
        <w:rPr>
          <w:rFonts w:hint="eastAsia" w:ascii="楷体" w:hAnsi="楷体" w:eastAsia="楷体"/>
          <w:szCs w:val="21"/>
        </w:rPr>
        <w:t>亿元</w:t>
      </w:r>
      <w:r>
        <w:rPr>
          <w:rFonts w:hint="eastAsia" w:ascii="楷体" w:hAnsi="楷体" w:eastAsia="楷体" w:cs="楷体"/>
          <w:szCs w:val="21"/>
          <w:lang w:val="en-US" w:eastAsia="zh-CN"/>
        </w:rPr>
        <w:t>，</w:t>
      </w:r>
      <w:r>
        <w:rPr>
          <w:rFonts w:hint="eastAsia" w:ascii="楷体" w:hAnsi="楷体" w:eastAsia="楷体" w:cs="楷体"/>
          <w:szCs w:val="21"/>
          <w:lang w:eastAsia="zh-CN"/>
        </w:rPr>
        <w:t>同比增长</w:t>
      </w:r>
      <w:r>
        <w:rPr>
          <w:rFonts w:hint="eastAsia" w:ascii="楷体" w:hAnsi="楷体" w:eastAsia="楷体" w:cs="楷体"/>
          <w:szCs w:val="21"/>
          <w:lang w:val="en-US" w:eastAsia="zh-CN"/>
        </w:rPr>
        <w:t>38.48</w:t>
      </w:r>
      <w:r>
        <w:rPr>
          <w:rFonts w:hint="eastAsia" w:ascii="楷体" w:hAnsi="楷体" w:eastAsia="楷体" w:cs="楷体"/>
          <w:szCs w:val="21"/>
        </w:rPr>
        <w:t>%</w:t>
      </w:r>
      <w:r>
        <w:rPr>
          <w:rFonts w:hint="eastAsia" w:ascii="楷体" w:hAnsi="楷体" w:eastAsia="楷体" w:cs="楷体"/>
          <w:szCs w:val="21"/>
          <w:lang w:eastAsia="zh-CN"/>
        </w:rPr>
        <w:t>，</w:t>
      </w:r>
      <w:r>
        <w:rPr>
          <w:rFonts w:hint="eastAsia" w:ascii="楷体" w:hAnsi="楷体" w:eastAsia="楷体"/>
          <w:szCs w:val="21"/>
          <w:lang w:eastAsia="zh-CN"/>
        </w:rPr>
        <w:t>增速比上月末加快</w:t>
      </w:r>
      <w:r>
        <w:rPr>
          <w:rFonts w:hint="eastAsia" w:ascii="楷体" w:hAnsi="楷体" w:eastAsia="楷体"/>
          <w:szCs w:val="21"/>
          <w:lang w:val="en-US" w:eastAsia="zh-CN"/>
        </w:rPr>
        <w:t>3.78个百分点</w:t>
      </w:r>
      <w:r>
        <w:rPr>
          <w:rFonts w:hint="eastAsia" w:ascii="楷体" w:hAnsi="楷体" w:eastAsia="楷体" w:cs="楷体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F7AF8"/>
    <w:rsid w:val="34D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2022-02-09T03:41:00Z</dcterms:created>
  <dc:creator>Administrator</dc:creator>
  <cp:lastModifiedBy>Administrator</cp:lastModifiedBy>
  <dcterms:modified xsi:type="dcterms:W3CDTF">2022-02-09T03:41:55Z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