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right="0"/>
        <w:jc w:val="center"/>
        <w:rPr>
          <w:rFonts w:hint="eastAsia" w:ascii="方正小标宋简体" w:hAnsi="方正小标宋简体" w:eastAsia="方正小标宋简体" w:cs="方正小标宋简体"/>
          <w:kern w:val="2"/>
          <w:sz w:val="44"/>
          <w:szCs w:val="44"/>
          <w:u w:val="none"/>
          <w:lang w:val="en-US" w:eastAsia="zh-CN" w:bidi="ar-SA"/>
        </w:rPr>
      </w:pPr>
      <w:r>
        <w:rPr>
          <w:rFonts w:hint="eastAsia" w:ascii="方正小标宋简体" w:hAnsi="方正小标宋简体" w:eastAsia="方正小标宋简体" w:cs="方正小标宋简体"/>
          <w:kern w:val="2"/>
          <w:sz w:val="44"/>
          <w:szCs w:val="44"/>
          <w:u w:val="none"/>
          <w:lang w:val="en-US" w:eastAsia="zh-CN" w:bidi="ar-SA"/>
        </w:rPr>
        <w:t>饶平县城市管理和综合执法局2021年度政府信息公开工作报告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firstLineChars="200"/>
        <w:jc w:val="left"/>
        <w:rPr>
          <w:rFonts w:hint="eastAsia" w:ascii="宋体" w:hAnsi="宋体" w:eastAsia="宋体" w:cs="宋体"/>
          <w:i w:val="0"/>
          <w:iCs w:val="0"/>
          <w:caps w:val="0"/>
          <w:color w:val="333333"/>
          <w:spacing w:val="0"/>
          <w:sz w:val="24"/>
          <w:szCs w:val="24"/>
          <w:lang w:eastAsia="zh-CN"/>
        </w:rPr>
      </w:pPr>
      <w:r>
        <w:rPr>
          <w:rFonts w:hint="eastAsia" w:ascii="仿宋_GB2312" w:hAnsi="仿宋_GB2312" w:eastAsia="仿宋_GB2312" w:cs="仿宋_GB2312"/>
          <w:i w:val="0"/>
          <w:caps w:val="0"/>
          <w:color w:val="000000"/>
          <w:spacing w:val="0"/>
          <w:sz w:val="32"/>
          <w:szCs w:val="32"/>
          <w:shd w:val="clear" w:fill="FFFFFF"/>
        </w:rPr>
        <w:t>根据 《中华人民共和国政府信息公开条例》和</w:t>
      </w:r>
      <w:r>
        <w:rPr>
          <w:rFonts w:hint="eastAsia" w:ascii="仿宋_GB2312" w:hAnsi="仿宋_GB2312" w:eastAsia="仿宋_GB2312" w:cs="仿宋_GB2312"/>
          <w:i w:val="0"/>
          <w:caps w:val="0"/>
          <w:color w:val="000000"/>
          <w:spacing w:val="0"/>
          <w:sz w:val="32"/>
          <w:szCs w:val="32"/>
          <w:shd w:val="clear" w:fill="FFFFFF"/>
          <w:lang w:val="en-US" w:eastAsia="zh-CN"/>
        </w:rPr>
        <w:t>上级部门</w:t>
      </w:r>
      <w:r>
        <w:rPr>
          <w:rFonts w:hint="eastAsia" w:ascii="仿宋_GB2312" w:hAnsi="仿宋_GB2312" w:eastAsia="仿宋_GB2312" w:cs="仿宋_GB2312"/>
          <w:i w:val="0"/>
          <w:caps w:val="0"/>
          <w:color w:val="000000"/>
          <w:spacing w:val="0"/>
          <w:sz w:val="32"/>
          <w:szCs w:val="32"/>
          <w:shd w:val="clear" w:fill="FFFFFF"/>
        </w:rPr>
        <w:t>关于政府信息公开工作的有关要求，现编制2021年政府信息公开工作年度报告。全文以总体情况、主动公开政府信息情况、收到和处理政府信息公开申请情况、政府信息公开行政复议和行政诉讼情况、存在的主要问题及改进情况、其他需要报告的事项等六部分组成，涵盖</w:t>
      </w:r>
      <w:r>
        <w:rPr>
          <w:rFonts w:hint="eastAsia" w:ascii="仿宋_GB2312" w:hAnsi="仿宋_GB2312" w:eastAsia="仿宋_GB2312" w:cs="仿宋_GB2312"/>
          <w:i w:val="0"/>
          <w:caps w:val="0"/>
          <w:color w:val="000000"/>
          <w:spacing w:val="0"/>
          <w:sz w:val="32"/>
          <w:szCs w:val="32"/>
          <w:shd w:val="clear" w:fill="FFFFFF"/>
          <w:lang w:val="en-US" w:eastAsia="zh-CN"/>
        </w:rPr>
        <w:t>饶平县</w:t>
      </w:r>
      <w:r>
        <w:rPr>
          <w:rFonts w:hint="eastAsia" w:ascii="仿宋_GB2312" w:hAnsi="仿宋_GB2312" w:eastAsia="仿宋_GB2312" w:cs="仿宋_GB2312"/>
          <w:i w:val="0"/>
          <w:caps w:val="0"/>
          <w:color w:val="000000"/>
          <w:spacing w:val="0"/>
          <w:sz w:val="32"/>
          <w:szCs w:val="32"/>
          <w:shd w:val="clear" w:fill="FFFFFF"/>
        </w:rPr>
        <w:t>城市管理和综合执法局2021年</w:t>
      </w:r>
      <w:r>
        <w:rPr>
          <w:rFonts w:hint="eastAsia" w:ascii="仿宋_GB2312" w:hAnsi="仿宋_GB2312" w:eastAsia="仿宋_GB2312" w:cs="仿宋_GB2312"/>
          <w:i w:val="0"/>
          <w:caps w:val="0"/>
          <w:color w:val="000000"/>
          <w:spacing w:val="0"/>
          <w:sz w:val="32"/>
          <w:szCs w:val="32"/>
          <w:shd w:val="clear" w:fill="FFFFFF"/>
          <w:lang w:val="en-US" w:eastAsia="zh-CN"/>
        </w:rPr>
        <w:t>度</w:t>
      </w:r>
      <w:r>
        <w:rPr>
          <w:rFonts w:hint="eastAsia" w:ascii="仿宋_GB2312" w:hAnsi="仿宋_GB2312" w:eastAsia="仿宋_GB2312" w:cs="仿宋_GB2312"/>
          <w:i w:val="0"/>
          <w:caps w:val="0"/>
          <w:color w:val="000000"/>
          <w:spacing w:val="0"/>
          <w:sz w:val="32"/>
          <w:szCs w:val="32"/>
          <w:shd w:val="clear" w:fill="FFFFFF"/>
        </w:rPr>
        <w:t>政府信息公开工作情况</w:t>
      </w:r>
      <w:r>
        <w:rPr>
          <w:rFonts w:hint="eastAsia" w:ascii="仿宋_GB2312" w:hAnsi="仿宋_GB2312" w:eastAsia="仿宋_GB2312" w:cs="仿宋_GB2312"/>
          <w:i w:val="0"/>
          <w:caps w:val="0"/>
          <w:color w:val="000000"/>
          <w:spacing w:val="0"/>
          <w:sz w:val="32"/>
          <w:szCs w:val="32"/>
          <w:shd w:val="clear" w:fill="FFFFFF"/>
          <w:lang w:eastAsia="zh-CN"/>
        </w:rPr>
        <w:t>。</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eastAsia" w:ascii="仿宋_GB2312" w:hAnsi="Calibri" w:eastAsia="仿宋_GB2312" w:cs="黑体"/>
          <w:kern w:val="2"/>
          <w:sz w:val="32"/>
          <w:szCs w:val="32"/>
          <w:u w:val="none"/>
          <w:lang w:val="en-US" w:eastAsia="zh-CN" w:bidi="ar-SA"/>
        </w:rPr>
      </w:pPr>
      <w:r>
        <w:rPr>
          <w:rFonts w:hint="eastAsia" w:ascii="黑体" w:hAnsi="黑体" w:eastAsia="黑体" w:cs="黑体"/>
          <w:b w:val="0"/>
          <w:bCs w:val="0"/>
          <w:i w:val="0"/>
          <w:iCs w:val="0"/>
          <w:caps w:val="0"/>
          <w:color w:val="333333"/>
          <w:spacing w:val="0"/>
          <w:sz w:val="32"/>
          <w:szCs w:val="32"/>
          <w:shd w:val="clear" w:fill="FFFFFF"/>
          <w:lang w:eastAsia="zh-CN"/>
        </w:rPr>
        <w:t>一、</w:t>
      </w:r>
      <w:r>
        <w:rPr>
          <w:rFonts w:hint="eastAsia" w:ascii="黑体" w:hAnsi="黑体" w:eastAsia="黑体" w:cs="黑体"/>
          <w:b w:val="0"/>
          <w:bCs w:val="0"/>
          <w:i w:val="0"/>
          <w:iCs w:val="0"/>
          <w:caps w:val="0"/>
          <w:color w:val="333333"/>
          <w:spacing w:val="0"/>
          <w:sz w:val="32"/>
          <w:szCs w:val="32"/>
          <w:shd w:val="clear" w:fill="FFFFFF"/>
        </w:rPr>
        <w:t>总体情况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firstLineChars="20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lang w:val="en-US" w:eastAsia="zh-CN"/>
        </w:rPr>
        <w:t>2021年度，饶平县</w:t>
      </w:r>
      <w:r>
        <w:rPr>
          <w:rFonts w:hint="eastAsia" w:ascii="仿宋_GB2312" w:hAnsi="仿宋_GB2312" w:eastAsia="仿宋_GB2312" w:cs="仿宋_GB2312"/>
          <w:i w:val="0"/>
          <w:caps w:val="0"/>
          <w:color w:val="000000"/>
          <w:spacing w:val="0"/>
          <w:sz w:val="32"/>
          <w:szCs w:val="32"/>
          <w:shd w:val="clear" w:fill="FFFFFF"/>
        </w:rPr>
        <w:t>城市管理和综合执法局坚持以习近平新时代中国特色社会主义思想为指导，认真贯彻落实中央、省、市关于政务公开工作部署要求，严格按照《中华人民共和国政府信息公开条例》，切实保障人民群众的知情权、参与权和监督权，为促进经济和社会发展发挥积极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Calibri" w:eastAsia="仿宋_GB2312" w:cs="黑体"/>
          <w:b w:val="0"/>
          <w:bCs w:val="0"/>
          <w:kern w:val="2"/>
          <w:sz w:val="32"/>
          <w:szCs w:val="32"/>
          <w:u w:val="none"/>
          <w:lang w:val="en-US" w:eastAsia="zh-CN" w:bidi="ar-SA"/>
        </w:rPr>
        <w:t>　　</w:t>
      </w:r>
      <w:r>
        <w:rPr>
          <w:rStyle w:val="7"/>
          <w:rFonts w:hint="eastAsia" w:ascii="仿宋_GB2312" w:hAnsi="仿宋_GB2312" w:eastAsia="仿宋_GB2312" w:cs="仿宋_GB2312"/>
          <w:b w:val="0"/>
          <w:bCs w:val="0"/>
          <w:i w:val="0"/>
          <w:caps w:val="0"/>
          <w:color w:val="000000"/>
          <w:spacing w:val="0"/>
          <w:sz w:val="32"/>
          <w:szCs w:val="32"/>
          <w:shd w:val="clear" w:fill="FFFFFF"/>
        </w:rPr>
        <w:t>（一）</w:t>
      </w:r>
      <w:r>
        <w:rPr>
          <w:rStyle w:val="7"/>
          <w:rFonts w:hint="eastAsia" w:ascii="仿宋_GB2312" w:hAnsi="仿宋_GB2312" w:eastAsia="仿宋_GB2312" w:cs="仿宋_GB2312"/>
          <w:b w:val="0"/>
          <w:bCs w:val="0"/>
          <w:i w:val="0"/>
          <w:caps w:val="0"/>
          <w:color w:val="000000"/>
          <w:spacing w:val="0"/>
          <w:sz w:val="32"/>
          <w:szCs w:val="32"/>
          <w:shd w:val="clear" w:fill="FFFFFF"/>
          <w:lang w:val="en-US" w:eastAsia="zh-CN"/>
        </w:rPr>
        <w:t>主动</w:t>
      </w:r>
      <w:r>
        <w:rPr>
          <w:rStyle w:val="7"/>
          <w:rFonts w:hint="eastAsia" w:ascii="仿宋_GB2312" w:hAnsi="仿宋_GB2312" w:eastAsia="仿宋_GB2312" w:cs="仿宋_GB2312"/>
          <w:b w:val="0"/>
          <w:bCs w:val="0"/>
          <w:i w:val="0"/>
          <w:caps w:val="0"/>
          <w:color w:val="000000"/>
          <w:spacing w:val="0"/>
          <w:sz w:val="32"/>
          <w:szCs w:val="32"/>
          <w:shd w:val="clear" w:fill="FFFFFF"/>
        </w:rPr>
        <w:t>公开</w:t>
      </w:r>
      <w:r>
        <w:rPr>
          <w:rStyle w:val="7"/>
          <w:rFonts w:hint="eastAsia" w:ascii="仿宋_GB2312" w:hAnsi="仿宋_GB2312" w:eastAsia="仿宋_GB2312" w:cs="仿宋_GB2312"/>
          <w:b w:val="0"/>
          <w:bCs w:val="0"/>
          <w:i w:val="0"/>
          <w:caps w:val="0"/>
          <w:color w:val="000000"/>
          <w:spacing w:val="0"/>
          <w:sz w:val="32"/>
          <w:szCs w:val="32"/>
          <w:shd w:val="clear" w:fill="FFFFFF"/>
          <w:lang w:val="en-US" w:eastAsia="zh-CN"/>
        </w:rPr>
        <w:t>情况</w:t>
      </w:r>
      <w:r>
        <w:rPr>
          <w:rStyle w:val="7"/>
          <w:rFonts w:hint="eastAsia" w:ascii="仿宋_GB2312" w:hAnsi="仿宋_GB2312" w:eastAsia="仿宋_GB2312" w:cs="仿宋_GB2312"/>
          <w:b w:val="0"/>
          <w:bCs w:val="0"/>
          <w:i w:val="0"/>
          <w:caps w:val="0"/>
          <w:color w:val="000000"/>
          <w:spacing w:val="0"/>
          <w:sz w:val="32"/>
          <w:szCs w:val="32"/>
          <w:shd w:val="clear" w:fill="FFFFFF"/>
        </w:rPr>
        <w:t>。</w:t>
      </w:r>
      <w:r>
        <w:rPr>
          <w:rFonts w:hint="eastAsia" w:ascii="仿宋_GB2312" w:hAnsi="仿宋_GB2312" w:eastAsia="仿宋_GB2312" w:cs="仿宋_GB2312"/>
          <w:i w:val="0"/>
          <w:caps w:val="0"/>
          <w:color w:val="000000"/>
          <w:spacing w:val="0"/>
          <w:sz w:val="32"/>
          <w:szCs w:val="32"/>
          <w:shd w:val="clear" w:fill="FFFFFF"/>
        </w:rPr>
        <w:t>主动公开涉及社会公益和群众权益的政府信息，对涉及重大关注热点的民生信息及时通过</w:t>
      </w:r>
      <w:r>
        <w:rPr>
          <w:rFonts w:hint="eastAsia" w:ascii="仿宋_GB2312" w:hAnsi="仿宋_GB2312" w:eastAsia="仿宋_GB2312" w:cs="仿宋_GB2312"/>
          <w:i w:val="0"/>
          <w:caps w:val="0"/>
          <w:color w:val="000000"/>
          <w:spacing w:val="0"/>
          <w:sz w:val="32"/>
          <w:szCs w:val="32"/>
          <w:shd w:val="clear" w:fill="FFFFFF"/>
          <w:lang w:val="en-US" w:eastAsia="zh-CN"/>
        </w:rPr>
        <w:t>饶平县</w:t>
      </w:r>
      <w:r>
        <w:rPr>
          <w:rFonts w:hint="eastAsia" w:ascii="仿宋_GB2312" w:hAnsi="仿宋_GB2312" w:eastAsia="仿宋_GB2312" w:cs="仿宋_GB2312"/>
          <w:i w:val="0"/>
          <w:caps w:val="0"/>
          <w:color w:val="000000"/>
          <w:spacing w:val="0"/>
          <w:sz w:val="32"/>
          <w:szCs w:val="32"/>
          <w:shd w:val="clear" w:fill="FFFFFF"/>
        </w:rPr>
        <w:t>政府门户网广泛征求社会意见，把政府信息公开工作作为促进行政权力公开透明，落实党风廉政建设，努力提高行政效能的重要举措。2021年，</w:t>
      </w:r>
      <w:r>
        <w:rPr>
          <w:rFonts w:hint="eastAsia" w:ascii="仿宋_GB2312" w:hAnsi="仿宋_GB2312" w:eastAsia="仿宋_GB2312" w:cs="仿宋_GB2312"/>
          <w:i w:val="0"/>
          <w:caps w:val="0"/>
          <w:color w:val="000000"/>
          <w:spacing w:val="0"/>
          <w:sz w:val="32"/>
          <w:szCs w:val="32"/>
          <w:shd w:val="clear" w:fill="FFFFFF"/>
          <w:lang w:val="en-US" w:eastAsia="zh-CN"/>
        </w:rPr>
        <w:t>全</w:t>
      </w:r>
      <w:r>
        <w:rPr>
          <w:rFonts w:hint="eastAsia" w:ascii="仿宋_GB2312" w:hAnsi="仿宋_GB2312" w:eastAsia="仿宋_GB2312" w:cs="仿宋_GB2312"/>
          <w:i w:val="0"/>
          <w:caps w:val="0"/>
          <w:color w:val="000000"/>
          <w:spacing w:val="0"/>
          <w:sz w:val="32"/>
          <w:szCs w:val="32"/>
          <w:shd w:val="clear" w:fill="FFFFFF"/>
        </w:rPr>
        <w:t>局共办理依申请公开</w:t>
      </w:r>
      <w:r>
        <w:rPr>
          <w:rFonts w:hint="eastAsia" w:ascii="仿宋_GB2312" w:hAnsi="仿宋_GB2312" w:eastAsia="仿宋_GB2312" w:cs="仿宋_GB2312"/>
          <w:i w:val="0"/>
          <w:caps w:val="0"/>
          <w:color w:val="000000"/>
          <w:spacing w:val="0"/>
          <w:sz w:val="32"/>
          <w:szCs w:val="32"/>
          <w:shd w:val="clear" w:fill="FFFFFF"/>
          <w:lang w:val="en-US" w:eastAsia="zh-CN"/>
        </w:rPr>
        <w:t>0</w:t>
      </w:r>
      <w:r>
        <w:rPr>
          <w:rFonts w:hint="eastAsia" w:ascii="仿宋_GB2312" w:hAnsi="仿宋_GB2312" w:eastAsia="仿宋_GB2312" w:cs="仿宋_GB2312"/>
          <w:i w:val="0"/>
          <w:caps w:val="0"/>
          <w:color w:val="000000"/>
          <w:spacing w:val="0"/>
          <w:sz w:val="32"/>
          <w:szCs w:val="32"/>
          <w:shd w:val="clear" w:fill="FFFFFF"/>
        </w:rPr>
        <w:t>宗，予以公开及部分公开</w:t>
      </w:r>
      <w:r>
        <w:rPr>
          <w:rFonts w:hint="eastAsia" w:ascii="仿宋_GB2312" w:hAnsi="仿宋_GB2312" w:eastAsia="仿宋_GB2312" w:cs="仿宋_GB2312"/>
          <w:i w:val="0"/>
          <w:caps w:val="0"/>
          <w:color w:val="000000"/>
          <w:spacing w:val="0"/>
          <w:sz w:val="32"/>
          <w:szCs w:val="32"/>
          <w:shd w:val="clear" w:fill="FFFFFF"/>
          <w:lang w:val="en-US" w:eastAsia="zh-CN"/>
        </w:rPr>
        <w:t>6</w:t>
      </w:r>
      <w:r>
        <w:rPr>
          <w:rFonts w:hint="eastAsia" w:ascii="仿宋_GB2312" w:hAnsi="仿宋_GB2312" w:eastAsia="仿宋_GB2312" w:cs="仿宋_GB2312"/>
          <w:i w:val="0"/>
          <w:caps w:val="0"/>
          <w:color w:val="000000"/>
          <w:spacing w:val="0"/>
          <w:sz w:val="32"/>
          <w:szCs w:val="32"/>
          <w:shd w:val="clear" w:fill="FFFFFF"/>
        </w:rPr>
        <w:t>宗，不予公开0宗，无法提供</w:t>
      </w:r>
      <w:r>
        <w:rPr>
          <w:rFonts w:hint="eastAsia" w:ascii="仿宋_GB2312" w:hAnsi="仿宋_GB2312" w:eastAsia="仿宋_GB2312" w:cs="仿宋_GB2312"/>
          <w:i w:val="0"/>
          <w:caps w:val="0"/>
          <w:color w:val="000000"/>
          <w:spacing w:val="0"/>
          <w:sz w:val="32"/>
          <w:szCs w:val="32"/>
          <w:shd w:val="clear" w:fill="FFFFFF"/>
          <w:lang w:val="en-US" w:eastAsia="zh-CN"/>
        </w:rPr>
        <w:t>0</w:t>
      </w:r>
      <w:r>
        <w:rPr>
          <w:rFonts w:hint="eastAsia" w:ascii="仿宋_GB2312" w:hAnsi="仿宋_GB2312" w:eastAsia="仿宋_GB2312" w:cs="仿宋_GB2312"/>
          <w:i w:val="0"/>
          <w:caps w:val="0"/>
          <w:color w:val="000000"/>
          <w:spacing w:val="0"/>
          <w:sz w:val="32"/>
          <w:szCs w:val="32"/>
          <w:shd w:val="clear" w:fill="FFFFFF"/>
        </w:rPr>
        <w:t>宗（经检索无信息），不予受理0宗，其他处理0宗。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default" w:ascii="仿宋_GB2312" w:hAnsi="仿宋_GB2312" w:eastAsia="仿宋_GB2312" w:cs="仿宋_GB2312"/>
          <w:i w:val="0"/>
          <w:caps w:val="0"/>
          <w:color w:val="000000"/>
          <w:spacing w:val="0"/>
          <w:sz w:val="32"/>
          <w:szCs w:val="32"/>
          <w:lang w:val="en-US" w:eastAsia="zh-CN"/>
        </w:rPr>
      </w:pPr>
      <w:r>
        <w:rPr>
          <w:rFonts w:hint="eastAsia" w:ascii="仿宋_GB2312" w:hAnsi="Calibri" w:eastAsia="仿宋_GB2312" w:cs="黑体"/>
          <w:b w:val="0"/>
          <w:bCs w:val="0"/>
          <w:kern w:val="2"/>
          <w:sz w:val="32"/>
          <w:szCs w:val="32"/>
          <w:u w:val="none"/>
          <w:lang w:val="en-US" w:eastAsia="zh-CN" w:bidi="ar-SA"/>
        </w:rPr>
        <w:t>　　（二）依申请公开。</w:t>
      </w:r>
      <w:r>
        <w:rPr>
          <w:rFonts w:hint="eastAsia" w:ascii="仿宋_GB2312" w:hAnsi="仿宋_GB2312" w:eastAsia="仿宋_GB2312" w:cs="仿宋_GB2312"/>
          <w:i w:val="0"/>
          <w:caps w:val="0"/>
          <w:color w:val="000000"/>
          <w:spacing w:val="0"/>
          <w:sz w:val="32"/>
          <w:szCs w:val="32"/>
          <w:shd w:val="clear" w:fill="FFFFFF"/>
          <w:lang w:val="en-US" w:eastAsia="zh-CN"/>
        </w:rPr>
        <w:t>2021年，县城市管理和综合执法局未收到依申请公开事例。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jc w:val="left"/>
        <w:rPr>
          <w:rFonts w:hint="eastAsia" w:ascii="仿宋_GB2312" w:hAnsi="仿宋_GB2312" w:eastAsia="仿宋_GB2312" w:cs="仿宋_GB2312"/>
          <w:i w:val="0"/>
          <w:caps w:val="0"/>
          <w:color w:val="000000"/>
          <w:spacing w:val="0"/>
          <w:sz w:val="32"/>
          <w:szCs w:val="32"/>
          <w:shd w:val="clear" w:fill="FFFFFF"/>
        </w:rPr>
      </w:pPr>
      <w:r>
        <w:rPr>
          <w:rFonts w:hint="eastAsia" w:ascii="仿宋_GB2312" w:hAnsi="Calibri" w:eastAsia="仿宋_GB2312" w:cs="黑体"/>
          <w:b w:val="0"/>
          <w:bCs w:val="0"/>
          <w:kern w:val="2"/>
          <w:sz w:val="32"/>
          <w:szCs w:val="32"/>
          <w:u w:val="none"/>
          <w:lang w:val="en-US" w:eastAsia="zh-CN" w:bidi="ar-SA"/>
        </w:rPr>
        <w:t>（三）政府信息管理。</w:t>
      </w:r>
      <w:r>
        <w:rPr>
          <w:rFonts w:hint="eastAsia" w:ascii="仿宋_GB2312" w:hAnsi="仿宋_GB2312" w:eastAsia="仿宋_GB2312" w:cs="仿宋_GB2312"/>
          <w:i w:val="0"/>
          <w:caps w:val="0"/>
          <w:color w:val="000000"/>
          <w:spacing w:val="0"/>
          <w:sz w:val="32"/>
          <w:szCs w:val="32"/>
          <w:shd w:val="clear" w:fill="FFFFFF"/>
          <w:lang w:val="en-US" w:eastAsia="zh-CN"/>
        </w:rPr>
        <w:t>县城综局高度重视政府信息公开工作，指定专门股室负责政府信息公开工作和管理政府信息公开网上录入、审核、系统维护工作，</w:t>
      </w:r>
      <w:r>
        <w:rPr>
          <w:rFonts w:hint="eastAsia" w:ascii="仿宋_GB2312" w:hAnsi="仿宋_GB2312" w:eastAsia="仿宋_GB2312" w:cs="仿宋_GB2312"/>
          <w:i w:val="0"/>
          <w:caps w:val="0"/>
          <w:color w:val="000000"/>
          <w:spacing w:val="0"/>
          <w:sz w:val="32"/>
          <w:szCs w:val="32"/>
          <w:shd w:val="clear" w:fill="FFFFFF"/>
        </w:rPr>
        <w:t>保证信息数据的规范、准确和及时，进一步加强政务新媒体信息公开网络安全工作，确保工作开展稳定有序。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jc w:val="left"/>
        <w:rPr>
          <w:rFonts w:hint="eastAsia" w:ascii="仿宋_GB2312" w:hAnsi="仿宋_GB2312" w:eastAsia="仿宋_GB2312" w:cs="仿宋_GB2312"/>
          <w:i w:val="0"/>
          <w:caps w:val="0"/>
          <w:color w:val="000000"/>
          <w:spacing w:val="0"/>
          <w:sz w:val="32"/>
          <w:szCs w:val="32"/>
          <w:shd w:val="clear" w:fill="FFFFFF"/>
          <w:lang w:val="en-US" w:eastAsia="zh-CN"/>
        </w:rPr>
      </w:pPr>
      <w:r>
        <w:rPr>
          <w:rFonts w:hint="eastAsia" w:ascii="仿宋_GB2312" w:hAnsi="仿宋_GB2312" w:eastAsia="仿宋_GB2312" w:cs="仿宋_GB2312"/>
          <w:i w:val="0"/>
          <w:caps w:val="0"/>
          <w:color w:val="000000"/>
          <w:spacing w:val="0"/>
          <w:sz w:val="32"/>
          <w:szCs w:val="32"/>
          <w:shd w:val="clear" w:fill="FFFFFF"/>
          <w:lang w:eastAsia="zh-CN"/>
        </w:rPr>
        <w:t>（</w:t>
      </w:r>
      <w:r>
        <w:rPr>
          <w:rFonts w:hint="eastAsia" w:ascii="仿宋_GB2312" w:hAnsi="仿宋_GB2312" w:eastAsia="仿宋_GB2312" w:cs="仿宋_GB2312"/>
          <w:i w:val="0"/>
          <w:caps w:val="0"/>
          <w:color w:val="000000"/>
          <w:spacing w:val="0"/>
          <w:sz w:val="32"/>
          <w:szCs w:val="32"/>
          <w:shd w:val="clear" w:fill="FFFFFF"/>
          <w:lang w:val="en-US" w:eastAsia="zh-CN"/>
        </w:rPr>
        <w:t>四</w:t>
      </w:r>
      <w:r>
        <w:rPr>
          <w:rFonts w:hint="eastAsia" w:ascii="仿宋_GB2312" w:hAnsi="仿宋_GB2312" w:eastAsia="仿宋_GB2312" w:cs="仿宋_GB2312"/>
          <w:i w:val="0"/>
          <w:caps w:val="0"/>
          <w:color w:val="000000"/>
          <w:spacing w:val="0"/>
          <w:sz w:val="32"/>
          <w:szCs w:val="32"/>
          <w:shd w:val="clear" w:fill="FFFFFF"/>
          <w:lang w:eastAsia="zh-CN"/>
        </w:rPr>
        <w:t>）</w:t>
      </w:r>
      <w:r>
        <w:rPr>
          <w:rFonts w:hint="eastAsia" w:ascii="仿宋_GB2312" w:hAnsi="仿宋_GB2312" w:eastAsia="仿宋_GB2312" w:cs="仿宋_GB2312"/>
          <w:i w:val="0"/>
          <w:caps w:val="0"/>
          <w:color w:val="000000"/>
          <w:spacing w:val="0"/>
          <w:sz w:val="32"/>
          <w:szCs w:val="32"/>
          <w:shd w:val="clear" w:fill="FFFFFF"/>
          <w:lang w:val="en-US" w:eastAsia="zh-CN"/>
        </w:rPr>
        <w:t>公开平台建设。县城综局信息公开主要通过县政府政务信息公开平台进行公开，在公开政府信息过程中，及时明确政府信息的公开属性，严格按照保密法对政府信息逐条进行审核、确保公开的信息不涉密，涉密的信息不公开。</w:t>
      </w:r>
    </w:p>
    <w:p>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宋体" w:hAnsi="宋体" w:eastAsia="方正仿宋简体" w:cs="Times New Roman"/>
          <w:snapToGrid/>
          <w:color w:val="000000"/>
          <w:sz w:val="32"/>
          <w:lang w:eastAsia="zh-CN"/>
        </w:rPr>
      </w:pPr>
      <w:r>
        <w:rPr>
          <w:rFonts w:hint="eastAsia" w:ascii="仿宋_GB2312" w:hAnsi="仿宋_GB2312" w:eastAsia="仿宋_GB2312" w:cs="仿宋_GB2312"/>
          <w:i w:val="0"/>
          <w:caps w:val="0"/>
          <w:color w:val="000000"/>
          <w:spacing w:val="0"/>
          <w:sz w:val="32"/>
          <w:szCs w:val="32"/>
          <w:shd w:val="clear" w:fill="FFFFFF"/>
          <w:lang w:val="en-US" w:eastAsia="zh-CN"/>
        </w:rPr>
        <w:t>（五）监督保障。</w:t>
      </w:r>
      <w:r>
        <w:rPr>
          <w:rFonts w:hint="eastAsia" w:ascii="仿宋_GB2312" w:hAnsi="仿宋_GB2312" w:eastAsia="仿宋_GB2312" w:cs="仿宋_GB2312"/>
          <w:i w:val="0"/>
          <w:caps w:val="0"/>
          <w:color w:val="000000"/>
          <w:spacing w:val="0"/>
          <w:sz w:val="32"/>
          <w:szCs w:val="32"/>
          <w:shd w:val="clear" w:fill="FFFFFF"/>
        </w:rPr>
        <w:t>严格</w:t>
      </w:r>
      <w:r>
        <w:rPr>
          <w:rFonts w:hint="eastAsia" w:ascii="仿宋_GB2312" w:hAnsi="仿宋_GB2312" w:eastAsia="仿宋_GB2312" w:cs="仿宋_GB2312"/>
          <w:i w:val="0"/>
          <w:caps w:val="0"/>
          <w:color w:val="000000"/>
          <w:spacing w:val="0"/>
          <w:sz w:val="32"/>
          <w:szCs w:val="32"/>
          <w:shd w:val="clear" w:fill="FFFFFF"/>
          <w:lang w:val="en-US" w:eastAsia="zh-CN"/>
        </w:rPr>
        <w:t>执行</w:t>
      </w:r>
      <w:r>
        <w:rPr>
          <w:rFonts w:hint="eastAsia" w:ascii="仿宋_GB2312" w:hAnsi="仿宋_GB2312" w:eastAsia="仿宋_GB2312" w:cs="仿宋_GB2312"/>
          <w:i w:val="0"/>
          <w:caps w:val="0"/>
          <w:color w:val="000000"/>
          <w:spacing w:val="0"/>
          <w:sz w:val="32"/>
          <w:szCs w:val="32"/>
          <w:shd w:val="clear" w:fill="FFFFFF"/>
        </w:rPr>
        <w:t>《中华人民共和国政府信息公开条例》</w:t>
      </w:r>
      <w:r>
        <w:rPr>
          <w:rFonts w:hint="eastAsia" w:ascii="仿宋_GB2312" w:hAnsi="仿宋_GB2312" w:eastAsia="仿宋_GB2312" w:cs="仿宋_GB2312"/>
          <w:i w:val="0"/>
          <w:caps w:val="0"/>
          <w:color w:val="000000"/>
          <w:spacing w:val="0"/>
          <w:sz w:val="32"/>
          <w:szCs w:val="32"/>
          <w:shd w:val="clear" w:fill="FFFFFF"/>
          <w:lang w:val="en-US" w:eastAsia="zh-CN"/>
        </w:rPr>
        <w:t>等相关条例，不定期组织干部职工学习有关政府信息公开的有关规定，要求各单位各股室要把此项工作作为一项基本任务来抓紧、抓细、抓实，并及时提供公开内容。</w:t>
      </w:r>
      <w:r>
        <w:rPr>
          <w:rFonts w:hint="eastAsia" w:ascii="宋体" w:hAnsi="宋体" w:eastAsia="仿宋_GB2312" w:cs="仿宋_GB2312"/>
          <w:snapToGrid/>
          <w:color w:val="000000"/>
          <w:sz w:val="32"/>
          <w:lang w:val="en-US" w:eastAsia="zh-CN"/>
        </w:rPr>
        <w:t>同时，我局实行24小时值班制度，强化政府网站的内容保障和安全监测，确保网站安全健康运行。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jc w:val="left"/>
        <w:rPr>
          <w:rFonts w:hint="default" w:ascii="仿宋_GB2312" w:hAnsi="仿宋_GB2312" w:eastAsia="仿宋_GB2312" w:cs="仿宋_GB2312"/>
          <w:i w:val="0"/>
          <w:caps w:val="0"/>
          <w:color w:val="000000"/>
          <w:spacing w:val="0"/>
          <w:sz w:val="32"/>
          <w:szCs w:val="32"/>
          <w:shd w:val="clear"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Calibri" w:eastAsia="仿宋_GB2312" w:cs="黑体"/>
          <w:kern w:val="2"/>
          <w:sz w:val="32"/>
          <w:szCs w:val="32"/>
          <w:u w:val="none"/>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shd w:val="clear" w:fill="FFFFFF"/>
          <w:lang w:eastAsia="zh-CN"/>
        </w:rPr>
        <w:t>二、</w:t>
      </w:r>
      <w:r>
        <w:rPr>
          <w:rFonts w:hint="eastAsia" w:ascii="黑体" w:hAnsi="黑体" w:eastAsia="黑体" w:cs="黑体"/>
          <w:b w:val="0"/>
          <w:bCs w:val="0"/>
          <w:i w:val="0"/>
          <w:iCs w:val="0"/>
          <w:caps w:val="0"/>
          <w:color w:val="333333"/>
          <w:spacing w:val="0"/>
          <w:sz w:val="32"/>
          <w:szCs w:val="32"/>
          <w:shd w:val="clear" w:fill="FFFFFF"/>
        </w:rPr>
        <w:t>主动公开政府信息情况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Style w:val="5"/>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kern w:val="0"/>
                <w:sz w:val="24"/>
                <w:szCs w:val="24"/>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kern w:val="0"/>
                <w:sz w:val="24"/>
                <w:szCs w:val="24"/>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kern w:val="0"/>
                <w:sz w:val="24"/>
                <w:szCs w:val="24"/>
                <w:lang w:val="en-US" w:eastAsia="zh-CN" w:bidi="ar"/>
              </w:rPr>
              <w:t>本年</w:t>
            </w:r>
            <w:r>
              <w:rPr>
                <w:rFonts w:hint="eastAsia" w:ascii="宋体" w:hAnsi="宋体" w:eastAsia="宋体" w:cs="宋体"/>
                <w:kern w:val="0"/>
                <w:sz w:val="24"/>
                <w:szCs w:val="24"/>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kern w:val="0"/>
                <w:sz w:val="24"/>
                <w:szCs w:val="24"/>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kern w:val="0"/>
                <w:sz w:val="24"/>
                <w:szCs w:val="24"/>
                <w:lang w:val="en-US" w:eastAsia="zh-CN" w:bidi="ar"/>
              </w:rPr>
              <w:t>现行有效件</w:t>
            </w:r>
            <w:r>
              <w:rPr>
                <w:rFonts w:hint="eastAsia" w:ascii="宋体" w:hAnsi="宋体" w:eastAsia="宋体" w:cs="宋体"/>
                <w:kern w:val="0"/>
                <w:sz w:val="24"/>
                <w:szCs w:val="24"/>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24"/>
                <w:lang w:val="en-US"/>
              </w:rPr>
            </w:pPr>
            <w:r>
              <w:rPr>
                <w:rFonts w:hint="eastAsia" w:ascii="宋体" w:hAnsi="宋体" w:eastAsia="宋体" w:cs="宋体"/>
                <w:color w:val="000000"/>
                <w:kern w:val="0"/>
                <w:sz w:val="24"/>
                <w:szCs w:val="24"/>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24"/>
                <w:lang w:val="en-US"/>
              </w:rPr>
            </w:pPr>
            <w:r>
              <w:rPr>
                <w:rFonts w:hint="eastAsia" w:ascii="宋体" w:hAnsi="宋体" w:eastAsia="宋体" w:cs="宋体"/>
                <w:color w:val="000000"/>
                <w:kern w:val="0"/>
                <w:sz w:val="24"/>
                <w:szCs w:val="24"/>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24"/>
                <w:lang w:val="en-US"/>
              </w:rPr>
            </w:pPr>
            <w:r>
              <w:rPr>
                <w:rFonts w:hint="eastAsia" w:ascii="Calibri" w:hAnsi="Calibri" w:cs="Calibri"/>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24"/>
                <w:lang w:val="en-US"/>
              </w:rPr>
            </w:pPr>
            <w:r>
              <w:rPr>
                <w:rFonts w:hint="eastAsia" w:ascii="宋体" w:hAnsi="宋体" w:eastAsia="宋体" w:cs="宋体"/>
                <w:color w:val="000000"/>
                <w:kern w:val="0"/>
                <w:sz w:val="24"/>
                <w:szCs w:val="24"/>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24"/>
                <w:lang w:val="en-US"/>
              </w:rPr>
            </w:pPr>
            <w:r>
              <w:rPr>
                <w:rFonts w:hint="eastAsia" w:ascii="宋体" w:hAnsi="宋体" w:eastAsia="宋体" w:cs="宋体"/>
                <w:color w:val="000000"/>
                <w:kern w:val="0"/>
                <w:sz w:val="24"/>
                <w:szCs w:val="24"/>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24"/>
                <w:lang w:val="en-US"/>
              </w:rPr>
            </w:pPr>
            <w:r>
              <w:rPr>
                <w:rFonts w:hint="eastAsia" w:ascii="Calibri" w:hAnsi="Calibri" w:cs="Calibri"/>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kern w:val="0"/>
                <w:sz w:val="24"/>
                <w:szCs w:val="24"/>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kern w:val="0"/>
                <w:sz w:val="24"/>
                <w:szCs w:val="24"/>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kern w:val="0"/>
                <w:sz w:val="24"/>
                <w:szCs w:val="24"/>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24"/>
                <w:lang w:val="en-US"/>
              </w:rPr>
            </w:pPr>
            <w:r>
              <w:rPr>
                <w:rFonts w:hint="eastAsia" w:ascii="Calibri" w:hAnsi="Calibri" w:cs="Calibri"/>
                <w:kern w:val="0"/>
                <w:sz w:val="24"/>
                <w:szCs w:val="24"/>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kern w:val="0"/>
                <w:sz w:val="24"/>
                <w:szCs w:val="24"/>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color w:val="000000"/>
                <w:kern w:val="0"/>
                <w:sz w:val="24"/>
                <w:szCs w:val="24"/>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color w:val="000000"/>
                <w:kern w:val="0"/>
                <w:sz w:val="24"/>
                <w:szCs w:val="24"/>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24"/>
                <w:lang w:val="en-US"/>
              </w:rPr>
            </w:pPr>
            <w:r>
              <w:rPr>
                <w:rFonts w:hint="eastAsia" w:ascii="宋体" w:hAnsi="宋体" w:eastAsia="宋体" w:cs="宋体"/>
                <w:color w:val="000000"/>
                <w:kern w:val="0"/>
                <w:sz w:val="24"/>
                <w:szCs w:val="24"/>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24"/>
                <w:lang w:val="en-US"/>
              </w:rPr>
            </w:pPr>
            <w:r>
              <w:rPr>
                <w:rFonts w:hint="eastAsia" w:ascii="宋体" w:hAnsi="宋体" w:eastAsia="宋体" w:cs="宋体"/>
                <w:color w:val="00000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kern w:val="0"/>
                <w:sz w:val="24"/>
                <w:szCs w:val="24"/>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kern w:val="0"/>
                <w:sz w:val="24"/>
                <w:szCs w:val="24"/>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kern w:val="0"/>
                <w:sz w:val="24"/>
                <w:szCs w:val="24"/>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rPr>
                <w:rFonts w:hint="default" w:ascii="宋体" w:eastAsiaTheme="minorEastAsia"/>
                <w:sz w:val="24"/>
                <w:szCs w:val="24"/>
                <w:lang w:val="en-US" w:eastAsia="zh-CN"/>
              </w:rPr>
            </w:pPr>
            <w:r>
              <w:rPr>
                <w:rFonts w:hint="eastAsia" w:ascii="宋体"/>
                <w:sz w:val="24"/>
                <w:szCs w:val="24"/>
                <w:lang w:val="en-US" w:eastAsia="zh-CN"/>
              </w:rPr>
              <w:t xml:space="preserve">                       3.</w:t>
            </w:r>
            <w:bookmarkStart w:id="0" w:name="_GoBack"/>
            <w:bookmarkEnd w:id="0"/>
            <w:r>
              <w:rPr>
                <w:rFonts w:hint="eastAsia" w:ascii="宋体"/>
                <w:sz w:val="24"/>
                <w:szCs w:val="24"/>
                <w:lang w:val="en-US" w:eastAsia="zh-CN"/>
              </w:rPr>
              <w:t>5350</w:t>
            </w:r>
          </w:p>
        </w:tc>
      </w:tr>
    </w:tbl>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val="0"/>
          <w:i w:val="0"/>
          <w:iCs w:val="0"/>
          <w:caps w:val="0"/>
          <w:color w:val="333333"/>
          <w:spacing w:val="0"/>
          <w:sz w:val="32"/>
          <w:szCs w:val="32"/>
          <w:shd w:val="clear" w:fill="FFFFFF"/>
          <w:lang w:eastAsia="zh-CN"/>
        </w:rPr>
      </w:pPr>
      <w:r>
        <w:rPr>
          <w:rFonts w:hint="eastAsia" w:ascii="黑体" w:hAnsi="黑体" w:eastAsia="黑体" w:cs="黑体"/>
          <w:b w:val="0"/>
          <w:bCs w:val="0"/>
          <w:i w:val="0"/>
          <w:iCs w:val="0"/>
          <w:caps w:val="0"/>
          <w:color w:val="333333"/>
          <w:spacing w:val="0"/>
          <w:sz w:val="32"/>
          <w:szCs w:val="32"/>
          <w:shd w:val="clear" w:fill="FFFFFF"/>
          <w:lang w:eastAsia="zh-CN"/>
        </w:rPr>
        <w:t>三、收到和处理政府信息公开申请情况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Style w:val="5"/>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70"/>
        <w:gridCol w:w="949"/>
        <w:gridCol w:w="3206"/>
        <w:gridCol w:w="689"/>
        <w:gridCol w:w="689"/>
        <w:gridCol w:w="689"/>
        <w:gridCol w:w="689"/>
        <w:gridCol w:w="689"/>
        <w:gridCol w:w="689"/>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4925"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（本列数据的勾稽关系为：第一项加第二项之和，等于第三项加第四项之和）</w:t>
            </w:r>
          </w:p>
        </w:tc>
        <w:tc>
          <w:tcPr>
            <w:tcW w:w="4823"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25"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24"/>
                <w:szCs w:val="24"/>
              </w:rPr>
            </w:pPr>
          </w:p>
        </w:tc>
        <w:tc>
          <w:tcPr>
            <w:tcW w:w="689"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自然人</w:t>
            </w:r>
          </w:p>
        </w:tc>
        <w:tc>
          <w:tcPr>
            <w:tcW w:w="3445"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4925"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24"/>
                <w:szCs w:val="24"/>
              </w:rPr>
            </w:pPr>
          </w:p>
        </w:tc>
        <w:tc>
          <w:tcPr>
            <w:tcW w:w="689"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hAnsi="宋体" w:eastAsia="宋体" w:cs="宋体"/>
                <w:sz w:val="24"/>
                <w:szCs w:val="24"/>
              </w:rPr>
            </w:pP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企业</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机构</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社会公益组织</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法律服务机构</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hAnsi="宋体" w:eastAsia="宋体" w:cs="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2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一、本年新收政府信息公开申请数量</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2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二、上年结转政府信息公开申请数量</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70"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三、本年度办理结果</w:t>
            </w:r>
          </w:p>
        </w:tc>
        <w:tc>
          <w:tcPr>
            <w:tcW w:w="415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hAnsi="宋体" w:eastAsia="宋体" w:cs="宋体"/>
                <w:sz w:val="24"/>
                <w:szCs w:val="24"/>
              </w:rPr>
            </w:pPr>
          </w:p>
        </w:tc>
        <w:tc>
          <w:tcPr>
            <w:tcW w:w="415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hAnsi="宋体" w:eastAsia="宋体" w:cs="宋体"/>
                <w:sz w:val="24"/>
                <w:szCs w:val="24"/>
              </w:rPr>
            </w:pPr>
          </w:p>
        </w:tc>
        <w:tc>
          <w:tcPr>
            <w:tcW w:w="94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（三）不予公开</w:t>
            </w:r>
          </w:p>
        </w:tc>
        <w:tc>
          <w:tcPr>
            <w:tcW w:w="32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1.属于国家秘密</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hAnsi="宋体" w:eastAsia="宋体" w:cs="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hAnsi="宋体" w:eastAsia="宋体" w:cs="宋体"/>
                <w:sz w:val="24"/>
                <w:szCs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2.其他法律行政法规禁止公开</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hAnsi="宋体" w:eastAsia="宋体" w:cs="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hAnsi="宋体" w:eastAsia="宋体" w:cs="宋体"/>
                <w:sz w:val="24"/>
                <w:szCs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3.危及“三安全一稳定”</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hAnsi="宋体" w:eastAsia="宋体" w:cs="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hAnsi="宋体" w:eastAsia="宋体" w:cs="宋体"/>
                <w:sz w:val="24"/>
                <w:szCs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4.保护第三方合法权益</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hAnsi="宋体" w:eastAsia="宋体" w:cs="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hAnsi="宋体" w:eastAsia="宋体" w:cs="宋体"/>
                <w:sz w:val="24"/>
                <w:szCs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5.属于三类内部事务信息</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hAnsi="宋体" w:eastAsia="宋体" w:cs="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hAnsi="宋体" w:eastAsia="宋体" w:cs="宋体"/>
                <w:sz w:val="24"/>
                <w:szCs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6.属于四类过程性信息</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hAnsi="宋体" w:eastAsia="宋体" w:cs="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hAnsi="宋体" w:eastAsia="宋体" w:cs="宋体"/>
                <w:sz w:val="24"/>
                <w:szCs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7.属于行政执法案卷</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hAnsi="宋体" w:eastAsia="宋体" w:cs="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hAnsi="宋体" w:eastAsia="宋体" w:cs="宋体"/>
                <w:sz w:val="24"/>
                <w:szCs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8.属于行政查询事项</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hAnsi="宋体" w:eastAsia="宋体" w:cs="宋体"/>
                <w:sz w:val="24"/>
                <w:szCs w:val="24"/>
              </w:rPr>
            </w:pPr>
          </w:p>
        </w:tc>
        <w:tc>
          <w:tcPr>
            <w:tcW w:w="94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（四）无法提供</w:t>
            </w:r>
          </w:p>
        </w:tc>
        <w:tc>
          <w:tcPr>
            <w:tcW w:w="32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1.本机关不掌握相关政府信息</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hAnsi="宋体" w:eastAsia="宋体" w:cs="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hAnsi="宋体" w:eastAsia="宋体" w:cs="宋体"/>
                <w:sz w:val="24"/>
                <w:szCs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2.没有现成信息需要另行制作</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hAnsi="宋体" w:eastAsia="宋体" w:cs="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hAnsi="宋体" w:eastAsia="宋体" w:cs="宋体"/>
                <w:sz w:val="24"/>
                <w:szCs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3.补正后申请内容仍不明确</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hAnsi="宋体" w:eastAsia="宋体" w:cs="宋体"/>
                <w:sz w:val="24"/>
                <w:szCs w:val="24"/>
              </w:rPr>
            </w:pPr>
          </w:p>
        </w:tc>
        <w:tc>
          <w:tcPr>
            <w:tcW w:w="94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（五）不予处理</w:t>
            </w:r>
          </w:p>
        </w:tc>
        <w:tc>
          <w:tcPr>
            <w:tcW w:w="32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1.信访举报投诉类申请</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hAnsi="宋体" w:eastAsia="宋体" w:cs="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hAnsi="宋体" w:eastAsia="宋体" w:cs="宋体"/>
                <w:sz w:val="24"/>
                <w:szCs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2.重复申请</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hAnsi="宋体" w:eastAsia="宋体" w:cs="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hAnsi="宋体" w:eastAsia="宋体" w:cs="宋体"/>
                <w:sz w:val="24"/>
                <w:szCs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3.要求提供公开出版物</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hAnsi="宋体" w:eastAsia="宋体" w:cs="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hAnsi="宋体" w:eastAsia="宋体" w:cs="宋体"/>
                <w:sz w:val="24"/>
                <w:szCs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4.无正当理由大量反复申请</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hAnsi="宋体" w:eastAsia="宋体" w:cs="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hAnsi="宋体" w:eastAsia="宋体" w:cs="宋体"/>
                <w:sz w:val="24"/>
                <w:szCs w:val="24"/>
              </w:rPr>
            </w:pPr>
          </w:p>
        </w:tc>
        <w:tc>
          <w:tcPr>
            <w:tcW w:w="320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5.要求行政机关确认或重新出具已获取信息</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hAnsi="宋体" w:eastAsia="宋体" w:cs="宋体"/>
                <w:sz w:val="24"/>
                <w:szCs w:val="24"/>
              </w:rPr>
            </w:pPr>
          </w:p>
        </w:tc>
        <w:tc>
          <w:tcPr>
            <w:tcW w:w="949"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（六）其他处理</w:t>
            </w:r>
          </w:p>
        </w:tc>
        <w:tc>
          <w:tcPr>
            <w:tcW w:w="320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1.申请人无正当理由逾期不补正、行政机关不再处理其政府信息公开申请</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hAnsi="宋体" w:eastAsia="宋体" w:cs="宋体"/>
                <w:sz w:val="24"/>
                <w:szCs w:val="24"/>
              </w:rPr>
            </w:pPr>
          </w:p>
        </w:tc>
        <w:tc>
          <w:tcPr>
            <w:tcW w:w="94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hAnsi="宋体" w:eastAsia="宋体" w:cs="宋体"/>
                <w:sz w:val="24"/>
                <w:szCs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2.申请人逾期未按收费通知要求缴纳费用、行政机关不再处理其政府信息公开申请</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hAnsi="宋体" w:eastAsia="宋体" w:cs="宋体"/>
                <w:sz w:val="24"/>
                <w:szCs w:val="24"/>
              </w:rPr>
            </w:pPr>
          </w:p>
        </w:tc>
        <w:tc>
          <w:tcPr>
            <w:tcW w:w="94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hAnsi="宋体" w:eastAsia="宋体" w:cs="宋体"/>
                <w:sz w:val="24"/>
                <w:szCs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3.其他</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hAnsi="宋体" w:eastAsia="宋体" w:cs="宋体"/>
                <w:sz w:val="24"/>
                <w:szCs w:val="24"/>
              </w:rPr>
            </w:pPr>
          </w:p>
        </w:tc>
        <w:tc>
          <w:tcPr>
            <w:tcW w:w="415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（七）总计</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492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四、结转下年度继续办理</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320" w:firstLineChars="100"/>
        <w:jc w:val="both"/>
        <w:rPr>
          <w:rFonts w:hint="eastAsia" w:ascii="黑体" w:hAnsi="黑体" w:eastAsia="黑体" w:cs="黑体"/>
          <w:b w:val="0"/>
          <w:bCs w:val="0"/>
          <w:i w:val="0"/>
          <w:iCs w:val="0"/>
          <w:caps w:val="0"/>
          <w:color w:val="333333"/>
          <w:spacing w:val="0"/>
          <w:sz w:val="32"/>
          <w:szCs w:val="32"/>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320" w:firstLineChars="100"/>
        <w:jc w:val="both"/>
        <w:rPr>
          <w:rFonts w:hint="eastAsia" w:ascii="黑体" w:hAnsi="黑体" w:eastAsia="黑体" w:cs="黑体"/>
          <w:b w:val="0"/>
          <w:bCs w:val="0"/>
          <w:i w:val="0"/>
          <w:iCs w:val="0"/>
          <w:caps w:val="0"/>
          <w:color w:val="333333"/>
          <w:spacing w:val="0"/>
          <w:sz w:val="32"/>
          <w:szCs w:val="32"/>
          <w:shd w:val="clear" w:fill="FFFFFF"/>
          <w:lang w:eastAsia="zh-CN"/>
        </w:rPr>
      </w:pPr>
      <w:r>
        <w:rPr>
          <w:rFonts w:hint="eastAsia" w:ascii="黑体" w:hAnsi="黑体" w:eastAsia="黑体" w:cs="黑体"/>
          <w:b w:val="0"/>
          <w:bCs w:val="0"/>
          <w:i w:val="0"/>
          <w:iCs w:val="0"/>
          <w:caps w:val="0"/>
          <w:color w:val="333333"/>
          <w:spacing w:val="0"/>
          <w:sz w:val="32"/>
          <w:szCs w:val="32"/>
          <w:shd w:val="clear" w:fill="FFFFFF"/>
          <w:lang w:eastAsia="zh-CN"/>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bl>
      <w:tblPr>
        <w:tblStyle w:val="5"/>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kern w:val="0"/>
                <w:sz w:val="24"/>
                <w:szCs w:val="24"/>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kern w:val="0"/>
                <w:sz w:val="24"/>
                <w:szCs w:val="24"/>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kern w:val="0"/>
                <w:sz w:val="24"/>
                <w:szCs w:val="24"/>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kern w:val="0"/>
                <w:sz w:val="24"/>
                <w:szCs w:val="24"/>
                <w:lang w:val="en-US" w:eastAsia="zh-CN" w:bidi="ar"/>
              </w:rPr>
              <w:t>结果</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kern w:val="0"/>
                <w:sz w:val="24"/>
                <w:szCs w:val="24"/>
                <w:lang w:val="en-US" w:eastAsia="zh-CN" w:bidi="ar"/>
              </w:rPr>
              <w:t>其他</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kern w:val="0"/>
                <w:sz w:val="24"/>
                <w:szCs w:val="24"/>
                <w:lang w:val="en-US" w:eastAsia="zh-CN" w:bidi="ar"/>
              </w:rPr>
              <w:t>尚未</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kern w:val="0"/>
                <w:sz w:val="24"/>
                <w:szCs w:val="24"/>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kern w:val="0"/>
                <w:sz w:val="24"/>
                <w:szCs w:val="24"/>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kern w:val="0"/>
                <w:sz w:val="24"/>
                <w:szCs w:val="24"/>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kern w:val="0"/>
                <w:sz w:val="24"/>
                <w:szCs w:val="24"/>
                <w:lang w:val="en-US" w:eastAsia="zh-CN" w:bidi="ar"/>
              </w:rPr>
              <w:t>结果</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kern w:val="0"/>
                <w:sz w:val="24"/>
                <w:szCs w:val="24"/>
                <w:lang w:val="en-US" w:eastAsia="zh-CN" w:bidi="ar"/>
              </w:rPr>
              <w:t>结果</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kern w:val="0"/>
                <w:sz w:val="24"/>
                <w:szCs w:val="24"/>
                <w:lang w:val="en-US" w:eastAsia="zh-CN" w:bidi="ar"/>
              </w:rPr>
              <w:t>其他</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kern w:val="0"/>
                <w:sz w:val="24"/>
                <w:szCs w:val="24"/>
                <w:lang w:val="en-US" w:eastAsia="zh-CN" w:bidi="ar"/>
              </w:rPr>
              <w:t>尚未</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color w:val="000000"/>
                <w:kern w:val="0"/>
                <w:sz w:val="24"/>
                <w:szCs w:val="24"/>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kern w:val="0"/>
                <w:sz w:val="24"/>
                <w:szCs w:val="24"/>
                <w:lang w:val="en-US" w:eastAsia="zh-CN" w:bidi="ar"/>
              </w:rPr>
              <w:t>结果</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kern w:val="0"/>
                <w:sz w:val="24"/>
                <w:szCs w:val="24"/>
                <w:lang w:val="en-US" w:eastAsia="zh-CN" w:bidi="ar"/>
              </w:rPr>
              <w:t>结果</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color w:val="000000"/>
                <w:kern w:val="0"/>
                <w:sz w:val="24"/>
                <w:szCs w:val="24"/>
                <w:lang w:val="en-US" w:eastAsia="zh-CN" w:bidi="ar"/>
              </w:rPr>
              <w:t>其他</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kern w:val="0"/>
                <w:sz w:val="24"/>
                <w:szCs w:val="24"/>
                <w:lang w:val="en-US" w:eastAsia="zh-CN" w:bidi="ar"/>
              </w:rPr>
              <w:t>尚未</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color w:val="000000"/>
                <w:kern w:val="0"/>
                <w:sz w:val="24"/>
                <w:szCs w:val="24"/>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sz w:val="24"/>
                <w:szCs w:val="24"/>
                <w:lang w:val="en-US"/>
              </w:rPr>
            </w:pPr>
            <w:r>
              <w:rPr>
                <w:rFonts w:hint="eastAsia" w:ascii="黑体" w:hAnsi="宋体" w:eastAsia="黑体" w:cs="黑体"/>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黑体" w:hAnsi="宋体" w:eastAsia="黑体" w:cs="黑体"/>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sz w:val="24"/>
                <w:szCs w:val="24"/>
                <w:lang w:val="en-US"/>
              </w:rPr>
            </w:pPr>
            <w:r>
              <w:rPr>
                <w:rFonts w:hint="eastAsia" w:ascii="黑体" w:hAnsi="宋体" w:eastAsia="黑体" w:cs="黑体"/>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黑体" w:hAnsi="宋体" w:eastAsia="黑体" w:cs="黑体"/>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黑体" w:hAnsi="宋体" w:eastAsia="黑体" w:cs="黑体"/>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黑体" w:hAnsi="宋体" w:eastAsia="黑体" w:cs="黑体"/>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黑体" w:hAnsi="宋体" w:eastAsia="黑体" w:cs="黑体"/>
                <w:kern w:val="0"/>
                <w:sz w:val="24"/>
                <w:szCs w:val="24"/>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黑体" w:hAnsi="宋体" w:eastAsia="黑体" w:cs="黑体"/>
                <w:kern w:val="0"/>
                <w:sz w:val="24"/>
                <w:szCs w:val="24"/>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sz w:val="24"/>
                <w:szCs w:val="24"/>
                <w:lang w:val="en-US"/>
              </w:rPr>
            </w:pPr>
            <w:r>
              <w:rPr>
                <w:rFonts w:hint="eastAsia" w:ascii="黑体" w:hAnsi="宋体" w:eastAsia="黑体" w:cs="黑体"/>
                <w:kern w:val="0"/>
                <w:sz w:val="24"/>
                <w:szCs w:val="24"/>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黑体" w:hAnsi="宋体" w:eastAsia="黑体" w:cs="黑体"/>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黑体" w:hAnsi="宋体" w:eastAsia="黑体" w:cs="黑体"/>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sz w:val="24"/>
                <w:szCs w:val="24"/>
                <w:lang w:val="en-US"/>
              </w:rPr>
            </w:pPr>
            <w:r>
              <w:rPr>
                <w:rFonts w:hint="eastAsia" w:ascii="黑体" w:hAnsi="宋体" w:eastAsia="黑体" w:cs="黑体"/>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黑体" w:hAnsi="宋体" w:eastAsia="黑体" w:cs="黑体"/>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sz w:val="24"/>
                <w:szCs w:val="24"/>
                <w:lang w:val="en-US"/>
              </w:rPr>
            </w:pPr>
            <w:r>
              <w:rPr>
                <w:rFonts w:hint="eastAsia" w:ascii="黑体" w:hAnsi="宋体" w:eastAsia="黑体" w:cs="黑体"/>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val="en-US" w:eastAsia="zh-CN"/>
        </w:rPr>
        <w:t>五、</w:t>
      </w:r>
      <w:r>
        <w:rPr>
          <w:rFonts w:hint="eastAsia" w:ascii="黑体" w:hAnsi="黑体" w:eastAsia="黑体" w:cs="黑体"/>
          <w:b w:val="0"/>
          <w:bCs w:val="0"/>
          <w:i w:val="0"/>
          <w:iCs w:val="0"/>
          <w:caps w:val="0"/>
          <w:color w:val="333333"/>
          <w:spacing w:val="0"/>
          <w:sz w:val="32"/>
          <w:szCs w:val="32"/>
          <w:shd w:val="clear" w:fill="FFFFFF"/>
          <w:lang w:eastAsia="zh-CN"/>
        </w:rPr>
        <w:t>存在的主要问题及改进情况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eastAsia" w:ascii="仿宋_GB2312" w:hAnsi="Calibri" w:eastAsia="仿宋_GB2312" w:cs="黑体"/>
          <w:kern w:val="2"/>
          <w:sz w:val="32"/>
          <w:szCs w:val="32"/>
          <w:u w:val="none"/>
          <w:lang w:val="en-US" w:eastAsia="zh-CN" w:bidi="ar-SA"/>
        </w:rPr>
      </w:pPr>
      <w:r>
        <w:rPr>
          <w:rFonts w:hint="eastAsia" w:ascii="仿宋_GB2312" w:hAnsi="Calibri" w:eastAsia="仿宋_GB2312" w:cs="黑体"/>
          <w:kern w:val="2"/>
          <w:sz w:val="32"/>
          <w:szCs w:val="32"/>
          <w:u w:val="none"/>
          <w:lang w:val="en-US" w:eastAsia="zh-CN" w:bidi="ar-SA"/>
        </w:rPr>
        <w:t>2021年，我局在规范信息公开流程、深化信息公开内容、完善信息公开基础工作等方面做了大量工作，取得良好成效，但也存在一些问题：主要体现在信息公开效果上有待提升，工作人员的工作能力和业务水平较弱。经自查，我局认真开展了整改。2022年我局将继续大力推进政府信息公开工作。一是完善依申请公开机制保障，进一步针对疑难问题，不断完善协调会商机制、横向交流机制、请示汇报机制和法制审核机制等，加强对具体办理人员法律专业业务素质的培养，逐步破解依申请公开遇到的疑难复杂问题，避免因依申请信息公开引起行政复议或诉讼。二是进一步注重政府信息的时效性，及时提供，定期维护，确保政府信息公开工作能按照既定的工作流程有效运作，便于公众查询。三是积极开展对相关工作人员的教育培训。认真组织学习《中华人民共和国政府信息公开条例》等条例和相关文件，注重提升工作人员的工作能力和业务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val="en-US" w:eastAsia="zh-CN"/>
        </w:rPr>
        <w:t>六、其他需要报告的事项</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default" w:ascii="仿宋_GB2312" w:hAnsi="Calibri" w:eastAsia="仿宋_GB2312" w:cs="黑体"/>
          <w:kern w:val="2"/>
          <w:sz w:val="32"/>
          <w:szCs w:val="32"/>
          <w:u w:val="none"/>
          <w:lang w:val="en-US" w:eastAsia="zh-CN" w:bidi="ar-SA"/>
        </w:rPr>
      </w:pPr>
      <w:r>
        <w:rPr>
          <w:rFonts w:hint="eastAsia" w:ascii="仿宋_GB2312" w:hAnsi="Calibri" w:eastAsia="仿宋_GB2312" w:cs="黑体"/>
          <w:kern w:val="2"/>
          <w:sz w:val="32"/>
          <w:szCs w:val="32"/>
          <w:u w:val="none"/>
          <w:lang w:val="en-US" w:eastAsia="zh-CN" w:bidi="ar-SA"/>
        </w:rPr>
        <w:t xml:space="preserve">本年度收取信息处理费0元。  </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320" w:firstLineChars="100"/>
        <w:jc w:val="both"/>
        <w:rPr>
          <w:rFonts w:hint="eastAsia" w:ascii="仿宋_GB2312" w:hAnsi="Calibri" w:eastAsia="仿宋_GB2312" w:cs="黑体"/>
          <w:kern w:val="2"/>
          <w:sz w:val="32"/>
          <w:szCs w:val="32"/>
          <w:u w:val="none"/>
          <w:lang w:val="en-US" w:eastAsia="zh-CN" w:bidi="ar-SA"/>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320" w:firstLineChars="100"/>
        <w:jc w:val="right"/>
        <w:rPr>
          <w:rFonts w:hint="eastAsia" w:ascii="仿宋_GB2312" w:hAnsi="Calibri" w:eastAsia="仿宋_GB2312" w:cs="黑体"/>
          <w:kern w:val="2"/>
          <w:sz w:val="32"/>
          <w:szCs w:val="32"/>
          <w:u w:val="none"/>
          <w:lang w:val="en-US" w:eastAsia="zh-CN" w:bidi="ar-SA"/>
        </w:rPr>
      </w:pPr>
      <w:r>
        <w:rPr>
          <w:rFonts w:hint="eastAsia" w:ascii="仿宋_GB2312" w:hAnsi="Calibri" w:eastAsia="仿宋_GB2312" w:cs="黑体"/>
          <w:kern w:val="2"/>
          <w:sz w:val="32"/>
          <w:szCs w:val="32"/>
          <w:u w:val="none"/>
          <w:lang w:val="en-US" w:eastAsia="zh-CN" w:bidi="ar-SA"/>
        </w:rPr>
        <w:t>饶平县城市管理和综合执法局</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320" w:firstLineChars="100"/>
        <w:jc w:val="center"/>
        <w:rPr>
          <w:rFonts w:hint="default" w:ascii="仿宋_GB2312" w:hAnsi="Calibri" w:eastAsia="仿宋_GB2312" w:cs="黑体"/>
          <w:kern w:val="2"/>
          <w:sz w:val="32"/>
          <w:szCs w:val="32"/>
          <w:u w:val="none"/>
          <w:lang w:val="en-US" w:eastAsia="zh-CN" w:bidi="ar-SA"/>
        </w:rPr>
      </w:pPr>
      <w:r>
        <w:rPr>
          <w:rFonts w:hint="eastAsia" w:ascii="仿宋_GB2312" w:hAnsi="Calibri" w:eastAsia="仿宋_GB2312" w:cs="黑体"/>
          <w:kern w:val="2"/>
          <w:sz w:val="32"/>
          <w:szCs w:val="32"/>
          <w:u w:val="none"/>
          <w:lang w:val="en-US" w:eastAsia="zh-CN" w:bidi="ar-SA"/>
        </w:rPr>
        <w:t xml:space="preserve">                          2022年1月13日</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320" w:firstLineChars="100"/>
        <w:jc w:val="both"/>
        <w:rPr>
          <w:rFonts w:hint="eastAsia" w:ascii="仿宋_GB2312" w:hAnsi="Calibri" w:eastAsia="仿宋_GB2312" w:cs="黑体"/>
          <w:kern w:val="2"/>
          <w:sz w:val="32"/>
          <w:szCs w:val="32"/>
          <w:u w:val="none"/>
          <w:lang w:val="en-US" w:eastAsia="zh-CN" w:bidi="ar-SA"/>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320" w:firstLineChars="100"/>
        <w:jc w:val="both"/>
        <w:rPr>
          <w:rFonts w:hint="eastAsia" w:ascii="仿宋_GB2312" w:hAnsi="Calibri" w:eastAsia="仿宋_GB2312" w:cs="黑体"/>
          <w:kern w:val="2"/>
          <w:sz w:val="32"/>
          <w:szCs w:val="32"/>
          <w:u w:val="none"/>
          <w:lang w:val="en-US" w:eastAsia="zh-CN" w:bidi="ar-SA"/>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320" w:firstLineChars="100"/>
        <w:jc w:val="both"/>
        <w:rPr>
          <w:rFonts w:hint="eastAsia" w:ascii="仿宋_GB2312" w:hAnsi="Calibri" w:eastAsia="仿宋_GB2312" w:cs="黑体"/>
          <w:kern w:val="2"/>
          <w:sz w:val="32"/>
          <w:szCs w:val="32"/>
          <w:u w:val="none"/>
          <w:lang w:val="en-US" w:eastAsia="zh-CN" w:bidi="ar-SA"/>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320" w:firstLineChars="100"/>
        <w:jc w:val="both"/>
        <w:rPr>
          <w:rFonts w:hint="eastAsia" w:ascii="仿宋_GB2312" w:hAnsi="Calibri" w:eastAsia="仿宋_GB2312" w:cs="黑体"/>
          <w:kern w:val="2"/>
          <w:sz w:val="32"/>
          <w:szCs w:val="32"/>
          <w:u w:val="none"/>
          <w:lang w:val="en-US" w:eastAsia="zh-CN" w:bidi="ar-SA"/>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320" w:firstLineChars="100"/>
        <w:jc w:val="both"/>
        <w:rPr>
          <w:rFonts w:hint="eastAsia" w:ascii="仿宋_GB2312" w:hAnsi="Calibri" w:eastAsia="仿宋_GB2312" w:cs="黑体"/>
          <w:kern w:val="2"/>
          <w:sz w:val="32"/>
          <w:szCs w:val="32"/>
          <w:u w:val="none"/>
          <w:lang w:val="en-US" w:eastAsia="zh-CN" w:bidi="ar-SA"/>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320" w:firstLineChars="100"/>
        <w:jc w:val="both"/>
        <w:rPr>
          <w:rFonts w:hint="eastAsia" w:ascii="仿宋_GB2312" w:hAnsi="Calibri" w:eastAsia="仿宋_GB2312" w:cs="黑体"/>
          <w:kern w:val="2"/>
          <w:sz w:val="32"/>
          <w:szCs w:val="32"/>
          <w:u w:val="none"/>
          <w:lang w:val="en-US" w:eastAsia="zh-CN" w:bidi="ar-SA"/>
        </w:rPr>
      </w:pPr>
    </w:p>
    <w:sectPr>
      <w:pgSz w:w="11906" w:h="16838"/>
      <w:pgMar w:top="2154" w:right="141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3A5D89"/>
    <w:rsid w:val="00CC02CB"/>
    <w:rsid w:val="0B2D761B"/>
    <w:rsid w:val="0FE02CB2"/>
    <w:rsid w:val="1E31327A"/>
    <w:rsid w:val="21D11CD1"/>
    <w:rsid w:val="23673A16"/>
    <w:rsid w:val="26434D60"/>
    <w:rsid w:val="28F00A39"/>
    <w:rsid w:val="2D3A5D89"/>
    <w:rsid w:val="3EC90262"/>
    <w:rsid w:val="425B7142"/>
    <w:rsid w:val="436F29BE"/>
    <w:rsid w:val="443F68F1"/>
    <w:rsid w:val="579D7516"/>
    <w:rsid w:val="66E27C08"/>
    <w:rsid w:val="703D2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autoSpaceDE w:val="0"/>
      <w:autoSpaceDN w:val="0"/>
      <w:adjustRightInd w:val="0"/>
      <w:spacing w:line="520" w:lineRule="exact"/>
      <w:ind w:firstLine="616" w:firstLineChars="200"/>
      <w:jc w:val="left"/>
    </w:pPr>
    <w:rPr>
      <w:rFonts w:ascii="仿宋_GB2312" w:eastAsia="仿宋_GB2312"/>
      <w:spacing w:val="-6"/>
      <w:sz w:val="3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2022-01-11T03:30:00Z</dcterms:created>
  <dc:creator>林芷乔</dc:creator>
  <cp:lastModifiedBy>wt015</cp:lastModifiedBy>
  <cp:lastPrinted>2022-01-13T08:07:00Z</cp:lastPrinted>
  <dcterms:modified xsi:type="dcterms:W3CDTF">2022-02-07T08:40:54Z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CA538A6CDD7D46C6B85C617300D9F054</vt:lpwstr>
  </property>
</Properties>
</file>