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outlineLvl w:val="9"/>
        <w:rPr>
          <w:rFonts w:hint="eastAsia" w:ascii="华文中宋" w:hAnsi="华文中宋" w:eastAsia="华文中宋" w:cs="华文中宋"/>
          <w:b/>
          <w:color w:val="auto"/>
          <w:sz w:val="40"/>
          <w:szCs w:val="28"/>
        </w:rPr>
      </w:pPr>
      <w:r>
        <w:rPr>
          <w:rFonts w:hint="eastAsia" w:ascii="华文中宋" w:hAnsi="华文中宋" w:eastAsia="华文中宋" w:cs="华文中宋"/>
          <w:b/>
          <w:color w:val="auto"/>
          <w:sz w:val="40"/>
          <w:szCs w:val="28"/>
          <w:lang w:eastAsia="zh-CN"/>
        </w:rPr>
        <w:t>饶平县水务局</w:t>
      </w:r>
      <w:r>
        <w:rPr>
          <w:rFonts w:hint="eastAsia" w:ascii="华文中宋" w:hAnsi="华文中宋" w:eastAsia="华文中宋" w:cs="华文中宋"/>
          <w:b/>
          <w:color w:val="auto"/>
          <w:sz w:val="40"/>
          <w:szCs w:val="28"/>
        </w:rPr>
        <w:t>二O</w:t>
      </w:r>
      <w:r>
        <w:rPr>
          <w:rFonts w:hint="eastAsia" w:ascii="华文中宋" w:hAnsi="华文中宋" w:eastAsia="华文中宋" w:cs="华文中宋"/>
          <w:b/>
          <w:color w:val="auto"/>
          <w:sz w:val="40"/>
          <w:szCs w:val="28"/>
          <w:lang w:eastAsia="zh-CN"/>
        </w:rPr>
        <w:t>二二</w:t>
      </w:r>
      <w:r>
        <w:rPr>
          <w:rFonts w:hint="eastAsia" w:ascii="华文中宋" w:hAnsi="华文中宋" w:eastAsia="华文中宋" w:cs="华文中宋"/>
          <w:b/>
          <w:color w:val="auto"/>
          <w:sz w:val="40"/>
          <w:szCs w:val="28"/>
        </w:rPr>
        <w:t>年</w:t>
      </w:r>
      <w:r>
        <w:rPr>
          <w:rFonts w:hint="eastAsia" w:ascii="华文中宋" w:hAnsi="华文中宋" w:eastAsia="华文中宋" w:cs="华文中宋"/>
          <w:b/>
          <w:color w:val="auto"/>
          <w:sz w:val="40"/>
          <w:szCs w:val="28"/>
          <w:lang w:eastAsia="zh-CN"/>
        </w:rPr>
        <w:t>工作计划</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textAlignment w:val="auto"/>
        <w:outlineLvl w:val="9"/>
        <w:rPr>
          <w:rFonts w:hint="eastAsia" w:ascii="宋体" w:hAnsi="宋体"/>
          <w:b/>
          <w:color w:val="auto"/>
          <w:sz w:val="36"/>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2022年，我局将继续高举中国特色社会主义伟大旗帜，深入贯彻党的十九大和十九届二中、三中、四中、五中、六中全会精神，坚持以习近平新时代中国特色社会主义思想为指导，全面贯彻党的基本理论、基本路线、基本方略，深入贯彻习近平总书记对广东系列重要讲话和重要指示精神以及视察潮州重要讲话重要指示精神，认真学习贯彻市第十五次党代会精神，坚定不移贯彻新发展理念，</w:t>
      </w:r>
      <w:r>
        <w:rPr>
          <w:rFonts w:hint="eastAsia" w:ascii="仿宋_GB2312" w:hAnsi="仿宋_GB2312" w:eastAsia="仿宋_GB2312" w:cs="仿宋_GB2312"/>
          <w:i w:val="0"/>
          <w:caps w:val="0"/>
          <w:color w:val="auto"/>
          <w:spacing w:val="0"/>
          <w:kern w:val="0"/>
          <w:sz w:val="32"/>
          <w:szCs w:val="32"/>
          <w:lang w:val="en-US" w:eastAsia="zh-CN" w:bidi="ar-SA"/>
        </w:rPr>
        <w:t>深刻领会精神实质并将其转化为完成工作任务的强大动力，以加快推动高质量发展为主题，</w:t>
      </w:r>
      <w:r>
        <w:rPr>
          <w:rFonts w:hint="eastAsia" w:ascii="仿宋_GB2312" w:eastAsia="仿宋_GB2312"/>
          <w:color w:val="auto"/>
          <w:sz w:val="32"/>
          <w:szCs w:val="32"/>
          <w:lang w:eastAsia="zh-CN"/>
        </w:rPr>
        <w:t>围绕科学谋划“一城一廊一海湾”饶平发展新格局的工作部署</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，结合本部门的实际，真抓实干，确保各项工作任务的完成，主要计划做好以下工作：</w:t>
      </w:r>
    </w:p>
    <w:p>
      <w:pPr>
        <w:keepNext w:val="0"/>
        <w:keepLines w:val="0"/>
        <w:pageBreakBefore w:val="0"/>
        <w:widowControl/>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一、发挥职能，突出重点，强化管理，加快重点工程建设步伐。</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主要是抓好</w:t>
      </w:r>
      <w:r>
        <w:rPr>
          <w:rFonts w:hint="eastAsia" w:ascii="仿宋_GB2312" w:hAnsi="Calibri" w:eastAsia="仿宋_GB2312" w:cs="Times New Roman"/>
          <w:b w:val="0"/>
          <w:bCs w:val="0"/>
          <w:kern w:val="0"/>
          <w:sz w:val="32"/>
          <w:szCs w:val="32"/>
          <w:lang w:val="en-US" w:eastAsia="zh-CN" w:bidi="ar-SA"/>
        </w:rPr>
        <w:t>东风埭十孔</w:t>
      </w:r>
      <w:r>
        <w:rPr>
          <w:rFonts w:hint="eastAsia" w:ascii="仿宋_GB2312" w:hAnsi="Times New Roman" w:eastAsia="仿宋_GB2312" w:cs="Times New Roman"/>
          <w:b w:val="0"/>
          <w:bCs w:val="0"/>
          <w:kern w:val="0"/>
          <w:sz w:val="32"/>
          <w:szCs w:val="32"/>
          <w:lang w:val="en-US" w:eastAsia="zh-CN" w:bidi="ar-SA"/>
        </w:rPr>
        <w:t>水</w:t>
      </w:r>
      <w:r>
        <w:rPr>
          <w:rFonts w:hint="eastAsia" w:ascii="仿宋_GB2312" w:hAnsi="Calibri" w:eastAsia="仿宋_GB2312" w:cs="Times New Roman"/>
          <w:b w:val="0"/>
          <w:bCs w:val="0"/>
          <w:kern w:val="0"/>
          <w:sz w:val="32"/>
          <w:szCs w:val="32"/>
          <w:lang w:val="en-US" w:eastAsia="zh-CN" w:bidi="ar-SA"/>
        </w:rPr>
        <w:t>闸拆除</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重建、中小河流治理、引韩济饶供水工程、</w:t>
      </w:r>
      <w:r>
        <w:rPr>
          <w:rFonts w:hint="eastAsia" w:ascii="仿宋_GB2312" w:hAnsi="仿宋_GB2312" w:eastAsia="仿宋_GB2312" w:cs="仿宋_GB2312"/>
          <w:b w:val="0"/>
          <w:bCs w:val="0"/>
          <w:kern w:val="0"/>
          <w:sz w:val="32"/>
          <w:szCs w:val="32"/>
          <w:lang w:val="en-US" w:eastAsia="zh-CN" w:bidi="ar-SA"/>
        </w:rPr>
        <w:t>汛洲岛跨海供水、联埭溪首段整治、</w:t>
      </w:r>
      <w:r>
        <w:rPr>
          <w:rFonts w:hint="eastAsia" w:ascii="仿宋_GB2312" w:hAnsi="Calibri" w:eastAsia="仿宋_GB2312" w:cs="Times New Roman"/>
          <w:b w:val="0"/>
          <w:bCs w:val="0"/>
          <w:kern w:val="0"/>
          <w:sz w:val="32"/>
          <w:szCs w:val="32"/>
          <w:lang w:val="en-US" w:eastAsia="zh-CN" w:bidi="ar-SA"/>
        </w:rPr>
        <w:t>黄冈河县城段上游</w:t>
      </w:r>
      <w:r>
        <w:rPr>
          <w:rFonts w:hint="eastAsia" w:ascii="仿宋_GB2312" w:eastAsia="仿宋_GB2312" w:cs="Times New Roman"/>
          <w:b w:val="0"/>
          <w:bCs w:val="0"/>
          <w:kern w:val="0"/>
          <w:sz w:val="32"/>
          <w:szCs w:val="32"/>
          <w:lang w:val="en-US" w:eastAsia="zh-CN" w:bidi="ar-SA"/>
        </w:rPr>
        <w:t>堤围加固提升</w:t>
      </w:r>
      <w:r>
        <w:rPr>
          <w:rFonts w:hint="eastAsia" w:ascii="仿宋_GB2312" w:hAnsi="Times New Roman" w:eastAsia="仿宋_GB2312" w:cs="Times New Roman"/>
          <w:b w:val="0"/>
          <w:bCs w:val="0"/>
          <w:kern w:val="0"/>
          <w:sz w:val="32"/>
          <w:szCs w:val="32"/>
          <w:lang w:val="en-US" w:eastAsia="zh-CN" w:bidi="ar-SA"/>
        </w:rPr>
        <w:t>、东溪大桥至叠石埭海堤加固提升、</w:t>
      </w:r>
      <w:r>
        <w:rPr>
          <w:rFonts w:hint="eastAsia" w:ascii="仿宋_GB2312" w:hAnsi="Times New Roman" w:eastAsia="仿宋_GB2312" w:cs="Times New Roman"/>
          <w:color w:val="auto"/>
          <w:kern w:val="0"/>
          <w:sz w:val="32"/>
          <w:szCs w:val="32"/>
          <w:lang w:val="en-US" w:eastAsia="zh-CN" w:bidi="ar-SA"/>
        </w:rPr>
        <w:t>全域河溪水陂除险加固工程、大埕镇水尾溪水闸重建、</w:t>
      </w:r>
      <w:r>
        <w:rPr>
          <w:rFonts w:hint="eastAsia" w:ascii="仿宋_GB2312" w:hAnsi="Calibri" w:eastAsia="仿宋_GB2312" w:cs="Times New Roman"/>
          <w:b w:val="0"/>
          <w:bCs w:val="0"/>
          <w:kern w:val="0"/>
          <w:sz w:val="32"/>
          <w:szCs w:val="32"/>
          <w:lang w:val="en-US" w:eastAsia="zh-CN" w:bidi="ar-SA"/>
        </w:rPr>
        <w:t>联饶段堤围加固提升</w:t>
      </w:r>
      <w:r>
        <w:rPr>
          <w:rFonts w:hint="eastAsia" w:ascii="仿宋_GB2312" w:hAnsi="Times New Roman" w:eastAsia="仿宋_GB2312" w:cs="Times New Roman"/>
          <w:b w:val="0"/>
          <w:bCs w:val="0"/>
          <w:kern w:val="0"/>
          <w:sz w:val="32"/>
          <w:szCs w:val="32"/>
          <w:lang w:val="en-US" w:eastAsia="zh-CN" w:bidi="ar-SA"/>
        </w:rPr>
        <w:t>、</w:t>
      </w:r>
      <w:r>
        <w:rPr>
          <w:rFonts w:hint="eastAsia" w:ascii="仿宋_GB2312" w:hAnsi="Calibri" w:eastAsia="仿宋_GB2312" w:cs="Times New Roman"/>
          <w:b w:val="0"/>
          <w:bCs w:val="0"/>
          <w:kern w:val="0"/>
          <w:sz w:val="32"/>
          <w:szCs w:val="32"/>
          <w:lang w:val="en-US" w:eastAsia="zh-CN" w:bidi="ar-SA"/>
        </w:rPr>
        <w:t>汛州岛海堤除险加固</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等工程建设，严格按基建工程管理程序办事，实行“四制”的规范化制度，确保工程按计划完成。</w:t>
      </w:r>
    </w:p>
    <w:p>
      <w:pPr>
        <w:pStyle w:val="4"/>
        <w:keepNext w:val="0"/>
        <w:keepLines w:val="0"/>
        <w:pageBreakBefore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二、高位推动，统筹推进，以点带面，打造黄冈河生态廊道。</w:t>
      </w:r>
      <w:r>
        <w:rPr>
          <w:rFonts w:hint="eastAsia" w:ascii="仿宋_GB2312" w:hAnsi="仿宋_GB2312" w:eastAsia="仿宋_GB2312" w:cs="仿宋_GB2312"/>
          <w:color w:val="auto"/>
          <w:kern w:val="2"/>
          <w:sz w:val="32"/>
          <w:szCs w:val="32"/>
          <w:lang w:val="en-US" w:eastAsia="zh-CN" w:bidi="ar-SA"/>
        </w:rPr>
        <w:t>统筹推进</w:t>
      </w:r>
      <w:r>
        <w:rPr>
          <w:rFonts w:hint="eastAsia" w:ascii="仿宋_GB2312" w:hAnsi="Times New Roman" w:eastAsia="仿宋_GB2312" w:cs="Times New Roman"/>
          <w:color w:val="auto"/>
          <w:kern w:val="0"/>
          <w:sz w:val="32"/>
          <w:szCs w:val="32"/>
          <w:lang w:eastAsia="zh-CN"/>
        </w:rPr>
        <w:t>汤溪水库除险加固、东溪水闸拆除重建及应急抢险配套工程、黄冈河上游新丰至三饶段堤围加固提升及汤溪水库应急通道、黄冈河上游上饶至新丰段堤围加固提升工程、黄冈河上游新丰段堤围加固提升工程、大澳至碧州海堤加固提升项目、澄饶联围综合整治工程（一期）、东柘干渠延长段水系和钱东新兴排洪沟整治工程、全域水利干渠综合整治</w:t>
      </w:r>
      <w:r>
        <w:rPr>
          <w:rFonts w:hint="eastAsia" w:ascii="仿宋_GB2312" w:hAnsi="仿宋_GB2312" w:eastAsia="仿宋_GB2312" w:cs="仿宋_GB2312"/>
          <w:color w:val="auto"/>
          <w:kern w:val="2"/>
          <w:sz w:val="32"/>
          <w:szCs w:val="32"/>
          <w:lang w:val="en-US" w:eastAsia="zh-CN" w:bidi="ar-SA"/>
        </w:rPr>
        <w:t>等工程的规划工作，高质量打造黄冈河生态廊道。</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三、高度重视，加大投入，持续推进，强化饮水安全保障。</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加快推进引韩济饶供水工程、钱东水厂新建工程、饶北水资源调配、黄冈汛洲岛跨海供水等饮水工程建设，促进城乡供水一体化、均衡化，切实解决偏远地区群众饮水难历史问题。</w:t>
      </w:r>
      <w:r>
        <w:rPr>
          <w:rFonts w:hint="eastAsia" w:ascii="仿宋_GB2312" w:hAnsi="Times New Roman" w:eastAsia="仿宋_GB2312" w:cs="Times New Roman"/>
          <w:color w:val="auto"/>
          <w:kern w:val="0"/>
          <w:sz w:val="32"/>
          <w:szCs w:val="32"/>
          <w:lang w:val="en-US" w:eastAsia="zh-CN" w:bidi="ar-SA"/>
        </w:rPr>
        <w:t>此外，针对中、北部山区镇还存在地处偏远的农村分散式供水工程水源保证率较低，工程水质净化、消毒措施较为简单、难以建成集中联片供水等问题，谋划实施</w:t>
      </w:r>
      <w:r>
        <w:rPr>
          <w:rFonts w:hint="eastAsia" w:ascii="仿宋_GB2312" w:hAnsi="Times New Roman" w:eastAsia="仿宋_GB2312" w:cs="Times New Roman"/>
          <w:color w:val="auto"/>
          <w:kern w:val="0"/>
          <w:sz w:val="32"/>
          <w:szCs w:val="32"/>
          <w:lang w:eastAsia="zh-CN"/>
        </w:rPr>
        <w:t>中部片区水资源调配和供水管网改造工程，</w:t>
      </w:r>
      <w:r>
        <w:rPr>
          <w:rFonts w:hint="eastAsia" w:ascii="仿宋_GB2312" w:hAnsi="Times New Roman" w:eastAsia="仿宋_GB2312" w:cs="Times New Roman"/>
          <w:color w:val="000000" w:themeColor="text1"/>
          <w:kern w:val="0"/>
          <w:sz w:val="32"/>
          <w:szCs w:val="32"/>
          <w:lang w:val="en-US" w:eastAsia="zh-CN" w:bidi="ar-SA"/>
          <w14:textFill>
            <w14:solidFill>
              <w14:schemeClr w14:val="tx1"/>
            </w14:solidFill>
          </w14:textFill>
        </w:rPr>
        <w:t>提升部分镇级水厂和镇级以下分散式供水工程，解决中、北部山区群众饮水难题。</w:t>
      </w:r>
    </w:p>
    <w:p>
      <w:pPr>
        <w:pStyle w:val="4"/>
        <w:keepNext w:val="0"/>
        <w:keepLines w:val="0"/>
        <w:pageBreakBefore w:val="0"/>
        <w:numPr>
          <w:ilvl w:val="0"/>
          <w:numId w:val="0"/>
        </w:numPr>
        <w:kinsoku/>
        <w:wordWrap/>
        <w:overflowPunct/>
        <w:topLinePunct w:val="0"/>
        <w:autoSpaceDE/>
        <w:autoSpaceDN/>
        <w:bidi w:val="0"/>
        <w:adjustRightInd/>
        <w:snapToGrid/>
        <w:spacing w:after="0" w:line="240" w:lineRule="auto"/>
        <w:ind w:firstLine="643" w:firstLineChars="200"/>
        <w:textAlignment w:val="auto"/>
        <w:rPr>
          <w:rFonts w:hint="eastAsia" w:ascii="Times New Roman" w:hAnsi="Times New Roman" w:eastAsia="宋体" w:cs="Times New Roman"/>
          <w:color w:val="auto"/>
          <w:kern w:val="0"/>
          <w:sz w:val="20"/>
          <w:szCs w:val="20"/>
          <w:lang w:val="en-US" w:eastAsia="zh-CN" w:bidi="ar-SA"/>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四、严格规范，加强管理，理顺关系，抓好民生水利工程建设和管理。</w:t>
      </w:r>
      <w:r>
        <w:rPr>
          <w:rFonts w:hint="eastAsia" w:ascii="仿宋_GB2312" w:hAnsi="Times New Roman" w:eastAsia="仿宋_GB2312" w:cs="Times New Roman"/>
          <w:b w:val="0"/>
          <w:bCs w:val="0"/>
          <w:color w:val="auto"/>
          <w:kern w:val="0"/>
          <w:sz w:val="32"/>
          <w:szCs w:val="32"/>
          <w:lang w:val="en-US" w:eastAsia="zh-CN" w:bidi="ar-SA"/>
        </w:rPr>
        <w:t>一是</w:t>
      </w:r>
      <w:r>
        <w:rPr>
          <w:rFonts w:hint="eastAsia" w:ascii="仿宋_GB2312" w:hAnsi="Times New Roman" w:eastAsia="仿宋_GB2312" w:cs="Times New Roman"/>
          <w:color w:val="auto"/>
          <w:kern w:val="0"/>
          <w:sz w:val="32"/>
          <w:szCs w:val="32"/>
          <w:lang w:val="en-US" w:eastAsia="zh-CN" w:bidi="ar-SA"/>
        </w:rPr>
        <w:t>要加强对在建水利工程的监督管理，严格落实基建程序，认真推行工程管理的“四制”，加强质量监督和管理，保证工程质量；二是落实好工程运行管理，强化资金监管，严格专款专用，坚决防止滞留、截留、挤占、挪用水利建设资金；三是发挥各级监督检查机构职能，加大对重点项目、重点环节、重点岗位的监督检查力度，重点加强小型水库、农村饮水工程运行管理等工作，推动水利工程补短板和水利行业强监管；四是加强安全生产监督管理，确保工程安全，人员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_GB2312" w:hAnsi="Times New Roman" w:eastAsia="仿宋_GB2312" w:cs="Times New Roman"/>
          <w:sz w:val="32"/>
          <w:szCs w:val="32"/>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五、坚持不懈，落实责任，加强检查，抓好防灾减灾工作。</w:t>
      </w:r>
      <w:r>
        <w:rPr>
          <w:rFonts w:hint="eastAsia" w:ascii="仿宋_GB2312" w:hAnsi="Times New Roman" w:eastAsia="仿宋_GB2312" w:cs="Times New Roman"/>
          <w:color w:val="auto"/>
          <w:sz w:val="32"/>
          <w:szCs w:val="32"/>
        </w:rPr>
        <w:t>立足防汛抗旱两手抓，建立健全高效有序的防灾减灾应急机制，</w:t>
      </w:r>
      <w:r>
        <w:rPr>
          <w:rFonts w:hint="eastAsia" w:ascii="仿宋_GB2312" w:hAnsi="Times New Roman" w:eastAsia="仿宋_GB2312" w:cs="Times New Roman"/>
          <w:color w:val="auto"/>
          <w:sz w:val="32"/>
          <w:szCs w:val="32"/>
          <w:lang w:eastAsia="zh-CN"/>
        </w:rPr>
        <w:t>认真</w:t>
      </w:r>
      <w:r>
        <w:rPr>
          <w:rFonts w:hint="eastAsia" w:ascii="仿宋_GB2312" w:hAnsi="Times New Roman" w:eastAsia="仿宋_GB2312" w:cs="Times New Roman"/>
          <w:color w:val="auto"/>
          <w:sz w:val="32"/>
          <w:szCs w:val="32"/>
        </w:rPr>
        <w:t>开展</w:t>
      </w:r>
      <w:r>
        <w:rPr>
          <w:rFonts w:hint="eastAsia" w:ascii="仿宋_GB2312" w:hAnsi="Times New Roman" w:eastAsia="仿宋_GB2312" w:cs="Times New Roman"/>
          <w:color w:val="auto"/>
          <w:sz w:val="32"/>
          <w:szCs w:val="32"/>
          <w:lang w:eastAsia="zh-CN"/>
        </w:rPr>
        <w:t>水利</w:t>
      </w:r>
      <w:r>
        <w:rPr>
          <w:rFonts w:hint="eastAsia" w:ascii="仿宋_GB2312" w:hAnsi="Times New Roman" w:eastAsia="仿宋_GB2312" w:cs="Times New Roman"/>
          <w:color w:val="auto"/>
          <w:sz w:val="32"/>
          <w:szCs w:val="32"/>
        </w:rPr>
        <w:t>工程安全大检查，及时发现问题及时组织处理；强化责任制的落实，特别是加强值班，及时上传下达</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采取积极措施，增加投入，应急抢修病险工程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坚持防汛和抗旱两手抓，</w:t>
      </w:r>
      <w:r>
        <w:rPr>
          <w:rFonts w:hint="eastAsia" w:ascii="仿宋_GB2312" w:hAnsi="Times New Roman" w:eastAsia="仿宋_GB2312" w:cs="Times New Roman"/>
          <w:sz w:val="32"/>
          <w:szCs w:val="32"/>
        </w:rPr>
        <w:t>科学调控，制订好合理的用水调度计划，</w:t>
      </w:r>
      <w:r>
        <w:rPr>
          <w:rFonts w:hint="eastAsia" w:ascii="仿宋_GB2312" w:hAnsi="Times New Roman" w:eastAsia="仿宋_GB2312" w:cs="Times New Roman"/>
          <w:color w:val="auto"/>
          <w:sz w:val="32"/>
          <w:szCs w:val="32"/>
        </w:rPr>
        <w:t>做好河库的科学调度，</w:t>
      </w:r>
      <w:r>
        <w:rPr>
          <w:rFonts w:hint="eastAsia" w:ascii="仿宋_GB2312" w:hAnsi="Times New Roman" w:eastAsia="仿宋_GB2312" w:cs="Times New Roman"/>
          <w:sz w:val="32"/>
          <w:szCs w:val="32"/>
        </w:rPr>
        <w:t>统筹兼顾上下游用水和分洪，确保上下游群众生产生活用水和沿海养殖业的安全。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Times New Roman" w:eastAsia="仿宋_GB2312" w:cs="Times New Roman"/>
          <w:sz w:val="32"/>
          <w:szCs w:val="32"/>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六、强化执法，加强宣传，压实责任，维护良好水事秩序。</w:t>
      </w:r>
      <w:r>
        <w:rPr>
          <w:rFonts w:hint="eastAsia" w:ascii="仿宋_GB2312" w:hAnsi="Times New Roman" w:eastAsia="仿宋_GB2312" w:cs="Times New Roman"/>
          <w:color w:val="auto"/>
          <w:sz w:val="32"/>
          <w:szCs w:val="32"/>
        </w:rPr>
        <w:t>切实加强重点</w:t>
      </w:r>
      <w:r>
        <w:rPr>
          <w:rFonts w:hint="eastAsia" w:ascii="仿宋_GB2312" w:hAnsi="Times New Roman" w:eastAsia="仿宋_GB2312" w:cs="Times New Roman"/>
          <w:color w:val="auto"/>
          <w:sz w:val="32"/>
          <w:szCs w:val="32"/>
          <w:lang w:eastAsia="zh-CN"/>
        </w:rPr>
        <w:t>水利</w:t>
      </w:r>
      <w:r>
        <w:rPr>
          <w:rFonts w:hint="eastAsia" w:ascii="仿宋_GB2312" w:hAnsi="Times New Roman" w:eastAsia="仿宋_GB2312" w:cs="Times New Roman"/>
          <w:color w:val="auto"/>
          <w:sz w:val="32"/>
          <w:szCs w:val="32"/>
        </w:rPr>
        <w:t>工程建设和</w:t>
      </w:r>
      <w:r>
        <w:rPr>
          <w:rFonts w:hint="eastAsia" w:ascii="仿宋_GB2312" w:hAnsi="Times New Roman" w:eastAsia="仿宋_GB2312" w:cs="Times New Roman"/>
          <w:color w:val="auto"/>
          <w:sz w:val="32"/>
          <w:szCs w:val="32"/>
          <w:lang w:eastAsia="zh-CN"/>
        </w:rPr>
        <w:t>《水法》《水土保持法》《河道采砂管理条例》</w:t>
      </w:r>
      <w:r>
        <w:rPr>
          <w:rFonts w:hint="eastAsia" w:ascii="仿宋_GB2312" w:hAnsi="Times New Roman" w:eastAsia="仿宋_GB2312" w:cs="Times New Roman"/>
          <w:sz w:val="32"/>
          <w:szCs w:val="32"/>
        </w:rPr>
        <w:t>《潮州市黄冈河流域水环境保护条例》</w:t>
      </w:r>
      <w:r>
        <w:rPr>
          <w:rFonts w:hint="eastAsia" w:ascii="仿宋_GB2312" w:hAnsi="Times New Roman" w:eastAsia="仿宋_GB2312" w:cs="Times New Roman"/>
          <w:color w:val="auto"/>
          <w:sz w:val="32"/>
          <w:szCs w:val="32"/>
          <w:lang w:eastAsia="zh-CN"/>
        </w:rPr>
        <w:t>等</w:t>
      </w:r>
      <w:r>
        <w:rPr>
          <w:rFonts w:hint="eastAsia" w:ascii="仿宋_GB2312" w:hAnsi="Times New Roman" w:eastAsia="仿宋_GB2312" w:cs="Times New Roman"/>
          <w:color w:val="auto"/>
          <w:sz w:val="32"/>
          <w:szCs w:val="32"/>
        </w:rPr>
        <w:t>宣传教育</w:t>
      </w:r>
      <w:r>
        <w:rPr>
          <w:rFonts w:hint="eastAsia" w:ascii="仿宋_GB2312" w:hAnsi="Times New Roman" w:eastAsia="仿宋_GB2312" w:cs="Times New Roman"/>
          <w:sz w:val="32"/>
          <w:szCs w:val="32"/>
        </w:rPr>
        <w:t>，努力提高全民保护水环境的意识，</w:t>
      </w:r>
      <w:r>
        <w:rPr>
          <w:rFonts w:hint="eastAsia" w:ascii="仿宋_GB2312" w:hAnsi="Times New Roman" w:eastAsia="仿宋_GB2312" w:cs="Times New Roman"/>
          <w:sz w:val="32"/>
          <w:szCs w:val="32"/>
          <w:lang w:eastAsia="zh-CN"/>
        </w:rPr>
        <w:t>推进河长制各项工作的落实，明确各级河长及职责，建立河道管护的长效机制，</w:t>
      </w:r>
      <w:r>
        <w:rPr>
          <w:rFonts w:hint="eastAsia" w:ascii="仿宋_GB2312" w:hAnsi="Times New Roman" w:eastAsia="仿宋_GB2312" w:cs="Times New Roman"/>
          <w:sz w:val="32"/>
          <w:szCs w:val="32"/>
        </w:rPr>
        <w:t>对各级河长、河库长履职情况实施年度考核，压实各级的责任</w:t>
      </w:r>
      <w:r>
        <w:rPr>
          <w:rFonts w:hint="eastAsia" w:ascii="仿宋_GB2312" w:hAnsi="Times New Roman" w:eastAsia="仿宋_GB2312" w:cs="Times New Roman"/>
          <w:sz w:val="32"/>
          <w:szCs w:val="32"/>
          <w:lang w:eastAsia="zh-CN"/>
        </w:rPr>
        <w:t>，确保河长制各项任务落实；</w:t>
      </w:r>
      <w:r>
        <w:rPr>
          <w:rFonts w:hint="eastAsia" w:ascii="仿宋_GB2312" w:hAnsi="Times New Roman" w:eastAsia="仿宋_GB2312" w:cs="Times New Roman"/>
          <w:sz w:val="32"/>
          <w:szCs w:val="32"/>
        </w:rPr>
        <w:t>抓好行政执法队伍的学习、培训，不断提高依法行政和业务管理水平；加大</w:t>
      </w:r>
      <w:r>
        <w:rPr>
          <w:rFonts w:hint="eastAsia" w:ascii="仿宋_GB2312" w:hAnsi="Times New Roman" w:eastAsia="仿宋_GB2312" w:cs="Times New Roman"/>
          <w:sz w:val="32"/>
          <w:szCs w:val="32"/>
          <w:lang w:eastAsia="zh-CN"/>
        </w:rPr>
        <w:t>扫黑除恶线索排查和水行政</w:t>
      </w:r>
      <w:r>
        <w:rPr>
          <w:rFonts w:hint="eastAsia" w:ascii="仿宋_GB2312" w:hAnsi="Times New Roman" w:eastAsia="仿宋_GB2312" w:cs="Times New Roman"/>
          <w:sz w:val="32"/>
          <w:szCs w:val="32"/>
        </w:rPr>
        <w:t>执法力度，强化涉及河道堤防建设项目、河道采砂、水土保持、违规小水电站等执法管理，确保行洪畅通和堤围安全，巩固水利工程建设的成果和工程效益；积极协调处理好水事纠纷，维持正常的用水秩序；</w:t>
      </w:r>
      <w:r>
        <w:rPr>
          <w:rFonts w:ascii="仿宋_GB2312" w:hAnsi="Times New Roman" w:eastAsia="仿宋_GB2312" w:cs="Times New Roman"/>
          <w:sz w:val="32"/>
          <w:szCs w:val="32"/>
        </w:rPr>
        <w:t>落实最严格的水资源管理制度</w:t>
      </w:r>
      <w:r>
        <w:rPr>
          <w:rFonts w:hint="eastAsia" w:ascii="仿宋_GB2312" w:hAnsi="Times New Roman" w:eastAsia="仿宋_GB2312" w:cs="Times New Roman"/>
          <w:sz w:val="32"/>
          <w:szCs w:val="32"/>
        </w:rPr>
        <w:t>，突出抓好水资源开发利用控制、用水效率控制、水功能区限制纳污红线管理，继续全面实施取水许可制度，加强水资源费的征收。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right"/>
        <w:textAlignment w:val="auto"/>
        <w:outlineLvl w:val="9"/>
        <w:rPr>
          <w:rFonts w:hint="eastAsia" w:ascii="仿宋_GB2312"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right"/>
        <w:textAlignment w:val="auto"/>
        <w:outlineLvl w:val="9"/>
        <w:rPr>
          <w:rFonts w:hint="eastAsia" w:ascii="仿宋_GB2312" w:hAnsi="Times New Roman" w:eastAsia="仿宋_GB2312" w:cs="Times New Roman"/>
          <w:sz w:val="32"/>
          <w:szCs w:val="32"/>
          <w:lang w:val="en-US" w:eastAsia="zh-CN"/>
        </w:rPr>
      </w:pPr>
      <w:bookmarkStart w:id="0" w:name="_GoBack"/>
      <w:bookmarkEnd w:id="0"/>
      <w:r>
        <w:rPr>
          <w:rFonts w:hint="eastAsia" w:ascii="仿宋_GB2312" w:hAnsi="Times New Roman" w:eastAsia="仿宋_GB2312" w:cs="Times New Roman"/>
          <w:sz w:val="32"/>
          <w:szCs w:val="32"/>
          <w:lang w:val="en-US" w:eastAsia="zh-CN"/>
        </w:rPr>
        <w:t>饶平县水务局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right"/>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A2553"/>
    <w:rsid w:val="665A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文本 21"/>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3">
    <w:name w:val="Body Text Indent"/>
    <w:qFormat/>
    <w:uiPriority w:val="99"/>
    <w:pPr>
      <w:widowControl w:val="0"/>
      <w:spacing w:after="120"/>
      <w:ind w:left="420" w:leftChars="200"/>
      <w:jc w:val="both"/>
    </w:pPr>
    <w:rPr>
      <w:rFonts w:ascii="??" w:hAnsi="??" w:eastAsia="宋体" w:cs="??"/>
      <w:color w:val="51585D"/>
      <w:kern w:val="0"/>
      <w:sz w:val="20"/>
      <w:szCs w:val="20"/>
      <w:lang w:val="en-US" w:eastAsia="zh-CN" w:bidi="ar-SA"/>
    </w:rPr>
  </w:style>
  <w:style w:type="paragraph" w:styleId="4">
    <w:name w:val="Body Text First Indent 2"/>
    <w:qFormat/>
    <w:uiPriority w:val="99"/>
    <w:pPr>
      <w:widowControl w:val="0"/>
      <w:tabs>
        <w:tab w:val="left" w:pos="1275"/>
      </w:tabs>
      <w:spacing w:after="120"/>
      <w:ind w:left="420" w:leftChars="200" w:firstLine="420" w:firstLineChars="200"/>
      <w:jc w:val="both"/>
    </w:pPr>
    <w:rPr>
      <w:rFonts w:ascii="Times New Roman" w:hAnsi="Times New Roman" w:eastAsia="宋体" w:cs="Times New Roman"/>
      <w:color w:val="51585D"/>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2022-01-30T06:43:00Z</dcterms:created>
  <dc:creator>河清海晏</dc:creator>
  <cp:lastModifiedBy>河清海晏</cp:lastModifiedBy>
  <dcterms:modified xsi:type="dcterms:W3CDTF">2022-01-30T06:51:43Z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