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6" w:hanging="10" w:hangingChars="1"/>
        <w:jc w:val="center"/>
        <w:rPr>
          <w:rFonts w:hint="eastAsia" w:ascii="方正小标宋简体" w:eastAsia="方正小标宋简体"/>
          <w:b/>
          <w:color w:val="FF0000"/>
          <w:sz w:val="72"/>
          <w:szCs w:val="72"/>
        </w:rPr>
      </w:pPr>
      <w:bookmarkStart w:id="0" w:name="_GoBack"/>
      <w:r>
        <w:rPr>
          <w:rFonts w:hint="eastAsia" w:ascii="方正小标宋简体" w:eastAsia="方正小标宋简体"/>
          <w:b/>
          <w:color w:val="FF0000"/>
          <w:spacing w:val="1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891540</wp:posOffset>
                </wp:positionV>
                <wp:extent cx="5934075" cy="0"/>
                <wp:effectExtent l="0" t="34925" r="9525" b="412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698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pt;margin-top:70.2pt;height:0pt;width:467.25pt;z-index:251658240;mso-width-relative:page;mso-height-relative:page;" filled="f" stroked="t" coordsize="21600,21600" o:gfxdata="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OHM02QAAAAsBAAAP&#10;AAAAAAAAAAEAIAAAACIAAABkcnMvZG93bnJldi54bWxQSwECFAAUAAAACACHTuJAiczPnN4BAACX&#10;AwAADgAAAAAAAAABACAAAAAoAQAAZHJzL2Uyb0RvYy54bWxQSwUGAAAAAAYABgBZAQAAeAUAAAAA&#10;">
                <v:fill on="f" focussize="0,0"/>
                <v:stroke weight="5.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方正小标宋简体" w:eastAsia="方正小标宋简体"/>
          <w:b/>
          <w:color w:val="FF0000"/>
          <w:spacing w:val="120"/>
          <w:sz w:val="72"/>
          <w:szCs w:val="72"/>
        </w:rPr>
        <w:t>广东省饶平县教育</w:t>
      </w:r>
      <w:r>
        <w:rPr>
          <w:rFonts w:hint="eastAsia" w:ascii="方正小标宋简体" w:eastAsia="方正小标宋简体"/>
          <w:b/>
          <w:color w:val="FF0000"/>
          <w:sz w:val="72"/>
          <w:szCs w:val="72"/>
        </w:rPr>
        <w:t>局</w:t>
      </w:r>
    </w:p>
    <w:p>
      <w:pPr>
        <w:ind w:left="160" w:leftChars="76" w:firstLine="5273" w:firstLineChars="1647"/>
        <w:rPr>
          <w:rFonts w:hint="eastAsia" w:ascii="宋体" w:hAnsi="宋体"/>
          <w:b/>
          <w:sz w:val="32"/>
          <w:szCs w:val="32"/>
        </w:rPr>
      </w:pPr>
    </w:p>
    <w:p>
      <w:pPr>
        <w:ind w:left="160" w:leftChars="76" w:firstLine="5291" w:firstLineChars="1647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left="160" w:leftChars="76" w:firstLine="5270" w:firstLineChars="1647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饶教通﹝20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﹞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107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号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/>
          <w:bCs/>
          <w:color w:val="4B4B4B"/>
          <w:kern w:val="36"/>
          <w:sz w:val="32"/>
          <w:szCs w:val="32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/>
          <w:bCs/>
          <w:color w:val="4B4B4B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4B4B4B"/>
          <w:kern w:val="36"/>
          <w:sz w:val="36"/>
          <w:szCs w:val="36"/>
        </w:rPr>
        <w:t>关于印发《</w:t>
      </w:r>
      <w:r>
        <w:rPr>
          <w:rFonts w:hint="eastAsia" w:ascii="黑体" w:hAnsi="黑体" w:eastAsia="黑体" w:cs="黑体"/>
          <w:b/>
          <w:bCs/>
          <w:color w:val="4B4B4B"/>
          <w:kern w:val="36"/>
          <w:sz w:val="36"/>
          <w:szCs w:val="36"/>
          <w:lang w:eastAsia="zh-CN"/>
        </w:rPr>
        <w:t>饶平县</w:t>
      </w:r>
      <w:r>
        <w:rPr>
          <w:rFonts w:hint="eastAsia" w:ascii="黑体" w:hAnsi="黑体" w:eastAsia="黑体" w:cs="黑体"/>
          <w:b/>
          <w:bCs/>
          <w:color w:val="4B4B4B"/>
          <w:kern w:val="36"/>
          <w:sz w:val="36"/>
          <w:szCs w:val="36"/>
        </w:rPr>
        <w:t>中小学生课外读物</w:t>
      </w:r>
      <w:r>
        <w:rPr>
          <w:rFonts w:hint="eastAsia" w:ascii="黑体" w:hAnsi="黑体" w:eastAsia="黑体" w:cs="黑体"/>
          <w:b/>
          <w:bCs/>
          <w:color w:val="4B4B4B"/>
          <w:kern w:val="36"/>
          <w:sz w:val="36"/>
          <w:szCs w:val="36"/>
        </w:rPr>
        <w:br w:type="textWrapping"/>
      </w:r>
      <w:r>
        <w:rPr>
          <w:rFonts w:hint="eastAsia" w:ascii="黑体" w:hAnsi="黑体" w:eastAsia="黑体" w:cs="黑体"/>
          <w:b/>
          <w:bCs/>
          <w:color w:val="4B4B4B"/>
          <w:kern w:val="36"/>
          <w:sz w:val="36"/>
          <w:szCs w:val="36"/>
        </w:rPr>
        <w:t>进校园管理办法》的通知</w:t>
      </w:r>
    </w:p>
    <w:p>
      <w:pPr>
        <w:widowControl/>
        <w:shd w:val="clear" w:color="auto" w:fill="FFFFFF"/>
        <w:jc w:val="center"/>
        <w:outlineLvl w:val="0"/>
        <w:rPr>
          <w:rFonts w:hint="eastAsia" w:ascii="宋体" w:hAnsi="宋体" w:eastAsia="宋体" w:cs="宋体"/>
          <w:b/>
          <w:bCs/>
          <w:color w:val="4B4B4B"/>
          <w:kern w:val="36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4B4B4B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  <w:t>各镇中心小学、各中学，县直各学校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4B4B4B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　　为规范课外读物进校园管理，防止问题读物进入中小学校园（含幼儿园），充分发挥课外读物育人功能，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  <w:t>根据教育部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《中小学生课外读物进校园管理办法》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  <w:t>的要求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  <w:t>结合我县实际，制订《饶平县中小学生课外读物进校园管理办法》，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现印发给你们，请认真贯彻执行。</w:t>
      </w:r>
    </w:p>
    <w:p>
      <w:pPr>
        <w:widowControl/>
        <w:shd w:val="clear" w:color="auto" w:fill="FFFFFF"/>
        <w:spacing w:line="480" w:lineRule="atLeast"/>
        <w:jc w:val="right"/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80" w:lineRule="atLeast"/>
        <w:jc w:val="right"/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80" w:lineRule="atLeast"/>
        <w:jc w:val="right"/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80" w:lineRule="atLeast"/>
        <w:ind w:firstLine="6080" w:firstLineChars="1900"/>
        <w:jc w:val="both"/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eastAsia="zh-CN"/>
        </w:rPr>
        <w:t>饶平县教育局</w:t>
      </w:r>
    </w:p>
    <w:p>
      <w:pPr>
        <w:widowControl/>
        <w:shd w:val="clear" w:color="auto" w:fill="FFFFFF"/>
        <w:spacing w:line="480" w:lineRule="atLeast"/>
        <w:jc w:val="center"/>
        <w:rPr>
          <w:rFonts w:hint="eastAsia" w:ascii="宋体" w:hAnsi="宋体" w:eastAsia="宋体" w:cs="宋体"/>
          <w:color w:val="4B4B4B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2021年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4B4B4B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微软雅黑" w:cs="Times New Roman"/>
          <w:b/>
          <w:bCs/>
          <w:color w:val="4B4B4B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jc w:val="both"/>
        <w:rPr>
          <w:rFonts w:ascii="Times New Roman" w:hAnsi="Times New Roman" w:eastAsia="微软雅黑" w:cs="Times New Roman"/>
          <w:b/>
          <w:bCs/>
          <w:color w:val="4B4B4B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jc w:val="both"/>
        <w:rPr>
          <w:rFonts w:ascii="Times New Roman" w:hAnsi="Times New Roman" w:eastAsia="微软雅黑" w:cs="Times New Roman"/>
          <w:b/>
          <w:bCs/>
          <w:color w:val="4B4B4B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微软雅黑" w:cs="Times New Roman"/>
          <w:b/>
          <w:bCs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b/>
          <w:bCs/>
          <w:color w:val="4B4B4B"/>
          <w:kern w:val="0"/>
          <w:sz w:val="27"/>
          <w:szCs w:val="27"/>
        </w:rPr>
        <w:t>中小学生课外读物进校园管理办法</w:t>
      </w: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微软雅黑" w:cs="Times New Roman"/>
          <w:b/>
          <w:bCs/>
          <w:color w:val="4B4B4B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第一条  为丰富学生阅读内容，拓展阅读活动，规范课外读物进校园管理，防止问题读物进入校园（含幼儿园），充分发挥课外读物育人功能，制定本办法。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第二条  本办法所称的课外读物是指教材和教辅之外的、进入校园供中小学生阅读的正式出版物（含数字出版产品）。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第三条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 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eastAsia="zh-CN"/>
        </w:rPr>
        <w:t>教育局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全面把握课外读物进校园情况，负责进校园课外读物的监督检查。中小学校根据实际需要做好课外读物推荐和管理工作。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第四条  中小学校课外读物推荐工作须遵守国家相关法律法规要求，坚持以下原则：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方向性。坚持育人为本，严把政治关，严格审视课外读物价值取向，助力学生成为有理想、有本领、有担当的时代新人。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全面性。坚持“五育”并举，着眼于学生全面发展，围绕核心素养，紧密联系学生思想、学习、生活实际，满足中小学生德育、智育、体育、美育和劳动教育等方面的阅读需要，全面发展素质教育。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适宜性。符合中小学生认知发展水平，满足不同学段学生学习需求和阅读兴趣。课外读物应使用绿色印刷，适应青少年儿童视力保护需求。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多样性。兼顾课外读物的学科、体裁、题材、国别、风格、表现形式，贯通古今中外。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适度性。中小学校和教师根据教育教学需要推荐的课外读物，要严格把关、控制数量。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第五条  进校园课外读物要符合以下基本标准：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主题鲜明。体现主旋律，引领新风尚，重点宣传习近平新时代中国特色社会主义思想，传承红色基因，弘扬民族精神、时代精神、科学精神，彰显家国情怀、社会关爱、人格修养，开拓国际视野，涵养法治意识。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内容积极。选材积极向上，反映经济社会发展新成就、科学技术新进展，以及人类文明优秀成果，具有较高人文、社会、科学、艺术等方面价值。选文作者历史评价正面，有良好的社会形象。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可读性强。文字优美，表达流畅，深入浅出，具有一定的启发性、趣味性。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启智增慧。能够激发学生的好奇心、想象力、创造力，增长知识见识，提升发现问题和解决问题能力，增强综合素质。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第六条  违反《出版管理条例》有关规定，或存在下列情形之一的，不得推荐或选用为中小学生课外读物：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（一）违背党的路线方针政策，污蔑、丑化党和国家领导人、英模人物，戏说党史、国史、军史的；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（二）损害国家荣誉和利益的，有反华、辱华、丑华内容的；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（三）泄露国家秘密、危害国家安全的；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（四）危害国家统一、主权和领土完整的；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（五）存在违反宗教政策的内容，宣扬宗教教理、教义和教规的；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（六）存在违反民族政策的内容，煽动民族仇恨、民族歧视，破坏民族团结，或者不尊重民族风俗、习惯的；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（七）宣扬个人主义、新自由主义、历史虚无主义等错误观点，存在崇洋媚外思想倾向的；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（八）存在低俗媚俗庸俗等不良倾向，格调低下、思想不健康，宣扬超自然力、神秘主义和鬼神迷信，存在淫秽、色情、暴力、邪教、赌博、毒品、引诱自杀、教唆犯罪等价值导向问题的；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（九）侮辱或者诽谤他人，侵害他人合法权益的；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（十）存在科学性错误的；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（十一）存在违规植入商业广告或变相商业广告及不当链接，违规使用“教育部推荐”“新课标指定”等字样的；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（十二）其他有违公序良俗、道德标准、法律法规等，造成社会不良影响的。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第七条  学校是进校园课外读物推荐责任主体，负责组织本校课外读物的遴选、审核工作。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eastAsia="zh-CN"/>
        </w:rPr>
        <w:t>八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条  进校园课外读物推荐目录要向学生家长公开，坚持自愿购买原则，禁止强制或变相强制学生购买课外读物，学校不得组织统一购买。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对家长自主购买推荐目录之外的课外读物，学校要做好指导工作。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学校图书馆购买课外读物按照《中小学图书馆（室）规程》有关规定执行。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eastAsia="zh-CN"/>
        </w:rPr>
        <w:t>九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条  加强其他渠道进校园课外读物的管理。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任何单位和个人不得在校园内通过举办讲座、培训等活动销售课外读物。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学校要明确受捐赠课外读物来源，由学校或上级教育行政主管部门进行审核把关，明确价值取向和适宜性把关要求。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第十条  中小学校要大力倡导学生爱读书、读好书、善读书，可设立读书节、读书角等，优化校园阅读环境，推动书香校园建设。注重开展形式多样的阅读活动，提高学生阅读兴趣，培养良好阅读习惯。发挥家长在学生课外阅读中的积极作用，营造家校协同育人的良好氛围。建立阅读激励机制，将书香校园建设表现突出的单位和个人纳入相关表彰奖励中，学校要采用适当的形式表彰阅读活动表现突出的师生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第十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eastAsia="zh-CN"/>
        </w:rPr>
        <w:t>一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条  建立监督检查机制。学校要加强对学生携带进入校园读物的管理，发现问题读物应及时予以有效处置，消除不良影响。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eastAsia="zh-CN"/>
        </w:rPr>
        <w:t>教育局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建立进校园课外读物推荐报备制度，畅通社会和群众监督渠道。教育督导部门将课外读物进校园有关情况纳入督导范围。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第十</w:t>
      </w:r>
      <w:r>
        <w:rPr>
          <w:rFonts w:hint="eastAsia" w:ascii="Times New Roman" w:hAnsi="Times New Roman" w:eastAsia="微软雅黑" w:cs="Times New Roman"/>
          <w:color w:val="4B4B4B"/>
          <w:kern w:val="0"/>
          <w:sz w:val="27"/>
          <w:szCs w:val="27"/>
          <w:lang w:eastAsia="zh-CN"/>
        </w:rPr>
        <w:t>二</w:t>
      </w: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条  存在下列情形之一的，由教育行政部门责令限期改正，视情节轻重依法依规予以处理；需要追究其他纪律或法律责任的，依纪依法移交相应主管部门处理。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（一）进校园课外读物未按规定程序组织推荐的；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（二）进校园课外读物不符合本办法原则、标准、要求的；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（三）强制或变相强制学生购买课外读物的；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（四）接受请托、牟取不正当利益的；</w:t>
      </w:r>
    </w:p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微软雅黑" w:cs="Times New Roman"/>
          <w:color w:val="4B4B4B"/>
          <w:kern w:val="0"/>
          <w:sz w:val="27"/>
          <w:szCs w:val="27"/>
        </w:rPr>
        <w:t>　　（五）有关行政部门及其工作人员违规干预课外读物推荐的。</w:t>
      </w:r>
    </w:p>
    <w:sectPr>
      <w:footerReference r:id="rId3" w:type="default"/>
      <w:pgSz w:w="11906" w:h="16838"/>
      <w:pgMar w:top="1440" w:right="168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3C"/>
    <w:rsid w:val="00A22178"/>
    <w:rsid w:val="00B520C1"/>
    <w:rsid w:val="00DB2C9A"/>
    <w:rsid w:val="00FD683C"/>
    <w:rsid w:val="147E5EA9"/>
    <w:rsid w:val="156811A8"/>
    <w:rsid w:val="1DB43CAF"/>
    <w:rsid w:val="300D7E20"/>
    <w:rsid w:val="32946BC4"/>
    <w:rsid w:val="3ACD6A5E"/>
    <w:rsid w:val="4E371269"/>
    <w:rsid w:val="55E85BAF"/>
    <w:rsid w:val="58E66E9E"/>
    <w:rsid w:val="59F73918"/>
    <w:rsid w:val="5BD245BB"/>
    <w:rsid w:val="660B737D"/>
    <w:rsid w:val="6BA34F9E"/>
    <w:rsid w:val="70CF013B"/>
    <w:rsid w:val="760E58AB"/>
    <w:rsid w:val="7697065A"/>
    <w:rsid w:val="77064643"/>
    <w:rsid w:val="7C4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</Words>
  <Characters>2480</Characters>
  <Lines>20</Lines>
  <Paragraphs>5</Paragraphs>
  <TotalTime>6</TotalTime>
  <ScaleCrop>false</ScaleCrop>
  <LinksUpToDate>false</LinksUpToDate>
  <CharactersWithSpaces>2909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2021-05-23T01:34:00Z</dcterms:created>
  <dc:creator>qq425071538@outlook.com</dc:creator>
  <cp:lastModifiedBy>勤工公共账号</cp:lastModifiedBy>
  <cp:lastPrinted>2021-09-22T07:01:46Z</cp:lastPrinted>
  <dcterms:modified xsi:type="dcterms:W3CDTF">2021-09-22T07:02:17Z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