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color w:val="auto"/>
        </w:rPr>
      </w:pPr>
      <w:r>
        <w:rPr>
          <w:rFonts w:hint="eastAsia" w:ascii="宋体" w:hAnsi="宋体" w:eastAsia="宋体" w:cs="宋体"/>
          <w:b/>
          <w:color w:val="auto"/>
          <w:sz w:val="36"/>
          <w:szCs w:val="36"/>
          <w:lang w:eastAsia="zh-CN"/>
        </w:rPr>
        <w:t>饶平县水务局</w:t>
      </w:r>
      <w:r>
        <w:rPr>
          <w:rFonts w:hint="eastAsia" w:ascii="宋体" w:hAnsi="宋体" w:eastAsia="宋体" w:cs="宋体"/>
          <w:b/>
          <w:color w:val="auto"/>
          <w:sz w:val="36"/>
          <w:szCs w:val="36"/>
          <w:lang w:val="en-US" w:eastAsia="zh-CN"/>
        </w:rPr>
        <w:t>2020年</w:t>
      </w:r>
      <w:r>
        <w:rPr>
          <w:rFonts w:hint="eastAsia" w:ascii="宋体" w:hAnsi="宋体" w:eastAsia="宋体" w:cs="宋体"/>
          <w:b/>
          <w:color w:val="auto"/>
          <w:sz w:val="36"/>
          <w:szCs w:val="36"/>
        </w:rPr>
        <w:t>政府信息公开工作年度报告</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auto"/>
        </w:rPr>
      </w:pP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我局在县委、县政府的领导下，继续贯彻《中华人民共和国政府信息公开条例》，以建设“行为规范、运转协调、公正透明、廉洁高效”的行政管理体制为目标，继续扩大政务信息公开范围，深化公开内容，规范公开程序、时间和形式，加强督促检查，做到依法、真实、按时公开，扎实推进政府信息公开工作的深入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firstLine="42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（一）认真落实执行信息公开制度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我局认真落实上级有关文件精神，充分认识政府信息公开工作的重要性和紧迫性，把信息公开工作与加强党风廉政建设、深化机关效能建设、网上办事大厅</w:t>
      </w:r>
      <w:r>
        <w:rPr>
          <w:rFonts w:hint="eastAsia" w:ascii="仿宋_GB2312" w:hAnsi="仿宋_GB2312" w:eastAsia="仿宋_GB2312" w:cs="仿宋_GB2312"/>
          <w:color w:val="auto"/>
          <w:sz w:val="32"/>
          <w:szCs w:val="32"/>
          <w:lang w:eastAsia="zh-CN"/>
        </w:rPr>
        <w:t>、工程审批制度改革</w:t>
      </w:r>
      <w:r>
        <w:rPr>
          <w:rFonts w:hint="eastAsia" w:ascii="仿宋_GB2312" w:hAnsi="仿宋_GB2312" w:eastAsia="仿宋_GB2312" w:cs="仿宋_GB2312"/>
          <w:color w:val="auto"/>
          <w:sz w:val="32"/>
          <w:szCs w:val="32"/>
        </w:rPr>
        <w:t>和政府信息公开网络平台建设、县政府工作部门职权清理等工作联系起来，调整充实局政务信息公开工作领导小组，切实加强组织领导，多次组织系统内人员学习《中华人民共和国政府信息公开条例》等文件精神，增强了推行信息公开工作的自觉性和积极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（二）多渠道扩大信息公开覆盖范围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局根据上级关于行政审批制度改革的要求，严格遵守水利行业法律法规，依法对涉及水利水电工程建设管理、河道采砂、取水许可、水土保持方案论证等事项进行审核、审批，积极配合广东省政务服务网的运行应用。目前，我局仍保留的行政许可审批事项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年我局依法实施新增、延续取水许可、水土保持、洪水影响评价等行政许可审批共</w:t>
      </w:r>
      <w:r>
        <w:rPr>
          <w:rFonts w:hint="eastAsia" w:ascii="仿宋_GB2312" w:hAnsi="仿宋_GB2312" w:eastAsia="仿宋_GB2312" w:cs="仿宋_GB2312"/>
          <w:color w:val="auto"/>
          <w:sz w:val="32"/>
          <w:szCs w:val="32"/>
          <w:lang w:val="en-US" w:eastAsia="zh-CN"/>
        </w:rPr>
        <w:t>51</w:t>
      </w:r>
      <w:r>
        <w:rPr>
          <w:rFonts w:hint="eastAsia" w:ascii="仿宋_GB2312" w:hAnsi="仿宋_GB2312" w:eastAsia="仿宋_GB2312" w:cs="仿宋_GB2312"/>
          <w:color w:val="auto"/>
          <w:sz w:val="32"/>
          <w:szCs w:val="32"/>
        </w:rPr>
        <w:t>件。对收到的有关水利工作的咨询都及时予以了回复或迅速进行调查落实。</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严格规范信息公开的程序和内容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w:t>
      </w:r>
      <w:r>
        <w:rPr>
          <w:rFonts w:hint="eastAsia" w:ascii="仿宋_GB2312" w:hAnsi="仿宋_GB2312" w:eastAsia="仿宋_GB2312" w:cs="仿宋_GB2312"/>
          <w:color w:val="auto"/>
          <w:sz w:val="32"/>
          <w:szCs w:val="32"/>
          <w:lang w:eastAsia="zh-CN"/>
        </w:rPr>
        <w:t>据</w:t>
      </w:r>
      <w:r>
        <w:rPr>
          <w:rFonts w:hint="eastAsia" w:ascii="仿宋_GB2312" w:hAnsi="仿宋_GB2312" w:eastAsia="仿宋_GB2312" w:cs="仿宋_GB2312"/>
          <w:color w:val="auto"/>
          <w:sz w:val="32"/>
          <w:szCs w:val="32"/>
        </w:rPr>
        <w:t>我局根据工作实际，有针对性地丰富信息公开内容，加强信息公开工作的日常管理，确保信息更具时效性、准确性。</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0" w:lineRule="exact"/>
        <w:ind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一是落实信息公开工作制度。</w:t>
      </w:r>
      <w:r>
        <w:rPr>
          <w:rFonts w:hint="eastAsia" w:ascii="仿宋_GB2312" w:hAnsi="仿宋_GB2312" w:eastAsia="仿宋_GB2312" w:cs="仿宋_GB2312"/>
          <w:color w:val="auto"/>
          <w:sz w:val="32"/>
          <w:szCs w:val="32"/>
        </w:rPr>
        <w:t>加强对信息公开工作的组织协调，规范公开的程序，逐级落实工作责任。由局秘书股专人负责日常信息公开工作。一般信息由分管领导审核，重要信息由主要领导审核，确保信息公开的科学、严谨和安全。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二是抓好网上政务办事大厅系统的建设。</w:t>
      </w:r>
      <w:r>
        <w:rPr>
          <w:rFonts w:hint="eastAsia" w:ascii="仿宋_GB2312" w:hAnsi="仿宋_GB2312" w:eastAsia="仿宋_GB2312" w:cs="仿宋_GB2312"/>
          <w:color w:val="auto"/>
          <w:sz w:val="32"/>
          <w:szCs w:val="32"/>
        </w:rPr>
        <w:t>为进一步提高信息公开服务质量，提高网上依法行政的透明度，我局及时完善网上办事大厅系统设置，并落实专人负责维护，确保网上行政审批系统的顺畅运行和对相关举报、投诉等信息的及时回复，确保件件有着落，事事有回音，提高便民服务水平。同时派专人常驻县政务服务中心，提高服务水平。</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rPr>
        <w:t>三是切实加强对信息公开工作的监督。</w:t>
      </w:r>
      <w:r>
        <w:rPr>
          <w:rFonts w:hint="eastAsia" w:ascii="仿宋_GB2312" w:hAnsi="仿宋_GB2312" w:eastAsia="仿宋_GB2312" w:cs="仿宋_GB2312"/>
          <w:color w:val="auto"/>
          <w:sz w:val="32"/>
          <w:szCs w:val="32"/>
        </w:rPr>
        <w:t>局政务信息公开工作领导小组对信息公开工作进行定时监督和平时监督，对公开内容的真实性、全面性、及时性、公开的程序和管理环节的规范性实施全面监督和检查。同时扩大监督面，通过网站向全社会公布部门信箱、监督投诉电话等，特别是对广大群众关心的热点问题公开得及不及时，真不真实的情况进行反馈和交流。对不推行政务公开制度、只公开一般事项而不公开重点事项和关键环节及只公开不承诺、敷衍应付等违规违纪行为，按照有关制度予以责任追究，对公开过程中暴露出来的问题及时纠正整改，达到以调动工作积极性、以公开促进民主发展的效果。</w:t>
      </w: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color w:val="auto"/>
          <w:sz w:val="32"/>
          <w:szCs w:val="32"/>
        </w:rPr>
      </w:pPr>
      <w:r>
        <w:rPr>
          <w:rFonts w:hint="eastAsia" w:ascii="宋体" w:hAnsi="宋体" w:eastAsia="宋体" w:cs="宋体"/>
          <w:b/>
          <w:color w:val="auto"/>
          <w:sz w:val="32"/>
          <w:szCs w:val="32"/>
        </w:rPr>
        <w:t>二、主动公开政府信息情况</w:t>
      </w:r>
    </w:p>
    <w:tbl>
      <w:tblPr>
        <w:tblStyle w:val="3"/>
        <w:tblW w:w="8140" w:type="dxa"/>
        <w:jc w:val="center"/>
        <w:tblInd w:w="191" w:type="dxa"/>
        <w:shd w:val="clear" w:color="auto" w:fill="auto"/>
        <w:tblLayout w:type="fixed"/>
        <w:tblCellMar>
          <w:top w:w="0" w:type="dxa"/>
          <w:left w:w="108" w:type="dxa"/>
          <w:bottom w:w="0" w:type="dxa"/>
          <w:right w:w="108" w:type="dxa"/>
        </w:tblCellMar>
      </w:tblPr>
      <w:tblGrid>
        <w:gridCol w:w="3113"/>
        <w:gridCol w:w="1875"/>
        <w:gridCol w:w="6"/>
        <w:gridCol w:w="1265"/>
        <w:gridCol w:w="1881"/>
      </w:tblGrid>
      <w:tr>
        <w:tblPrEx>
          <w:shd w:val="clear" w:color="auto" w:fill="auto"/>
          <w:tblLayout w:type="fixed"/>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第二十条第（一）项</w:t>
            </w:r>
          </w:p>
        </w:tc>
      </w:tr>
      <w:tr>
        <w:tblPrEx>
          <w:tblLayout w:type="fixed"/>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本年新</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本年新</w:t>
            </w:r>
            <w:r>
              <w:rPr>
                <w:rFonts w:hint="eastAsia" w:ascii="宋体" w:hAnsi="宋体" w:eastAsia="宋体" w:cs="宋体"/>
                <w:color w:val="auto"/>
                <w:kern w:val="0"/>
                <w:sz w:val="20"/>
                <w:szCs w:val="20"/>
                <w:lang w:val="en-US" w:eastAsia="zh-CN" w:bidi="ar"/>
              </w:rPr>
              <w:br w:type="textWrapping"/>
            </w:r>
            <w:r>
              <w:rPr>
                <w:rFonts w:hint="eastAsia" w:ascii="宋体" w:hAnsi="宋体" w:eastAsia="宋体" w:cs="宋体"/>
                <w:color w:val="auto"/>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对外公开总数量</w:t>
            </w:r>
          </w:p>
        </w:tc>
      </w:tr>
      <w:tr>
        <w:tblPrEx>
          <w:tblLayout w:type="fixed"/>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宋体" w:hAnsi="宋体" w:eastAsia="宋体" w:cs="宋体"/>
                <w:color w:val="auto"/>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xml:space="preserve">  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Calibri" w:eastAsia="宋体" w:cs="Times New Roman"/>
                <w:color w:val="auto"/>
                <w:kern w:val="0"/>
                <w:sz w:val="20"/>
                <w:szCs w:val="20"/>
                <w:lang w:val="en-US" w:eastAsia="zh-CN" w:bidi="ar"/>
              </w:rPr>
              <w:t> 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宋体" w:hAnsi="宋体" w:eastAsia="宋体" w:cs="宋体"/>
                <w:color w:val="auto"/>
                <w:kern w:val="0"/>
                <w:sz w:val="20"/>
                <w:szCs w:val="20"/>
                <w:lang w:val="en-US" w:eastAsia="zh-CN" w:bidi="ar"/>
              </w:rPr>
              <w:t>0　</w:t>
            </w:r>
          </w:p>
        </w:tc>
      </w:tr>
      <w:tr>
        <w:tblPrEx>
          <w:tblLayout w:type="fixed"/>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宋体" w:hAnsi="宋体" w:eastAsia="宋体" w:cs="宋体"/>
                <w:color w:val="auto"/>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xml:space="preserve">  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Calibri" w:eastAsia="宋体" w:cs="Times New Roman"/>
                <w:color w:val="auto"/>
                <w:kern w:val="0"/>
                <w:sz w:val="20"/>
                <w:szCs w:val="20"/>
                <w:lang w:val="en-US" w:eastAsia="zh-CN" w:bidi="ar"/>
              </w:rPr>
              <w:t> 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0</w:t>
            </w:r>
          </w:p>
        </w:tc>
      </w:tr>
      <w:tr>
        <w:tblPrEx>
          <w:tblLayout w:type="fixed"/>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第二十条第（五）项</w:t>
            </w:r>
          </w:p>
        </w:tc>
      </w:tr>
      <w:tr>
        <w:tblPrEx>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处理决定数量</w:t>
            </w:r>
          </w:p>
        </w:tc>
      </w:tr>
      <w:tr>
        <w:tblPrEx>
          <w:tblLayout w:type="fixed"/>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宋体" w:hAnsi="宋体" w:eastAsia="宋体" w:cs="宋体"/>
                <w:color w:val="auto"/>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firstLine="200" w:firstLineChars="100"/>
              <w:jc w:val="left"/>
              <w:rPr>
                <w:rFonts w:hint="default"/>
                <w:color w:val="auto"/>
                <w:lang w:val="en-US"/>
              </w:rPr>
            </w:pPr>
            <w:r>
              <w:rPr>
                <w:rFonts w:hint="eastAsia" w:ascii="宋体" w:hAnsi="宋体" w:eastAsia="宋体" w:cs="宋体"/>
                <w:color w:val="auto"/>
                <w:kern w:val="0"/>
                <w:sz w:val="20"/>
                <w:szCs w:val="20"/>
                <w:lang w:val="en-US" w:eastAsia="zh-CN" w:bidi="ar"/>
              </w:rPr>
              <w:t>15</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51</w:t>
            </w:r>
          </w:p>
        </w:tc>
      </w:tr>
      <w:tr>
        <w:tblPrEx>
          <w:tblLayout w:type="fixed"/>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宋体" w:hAnsi="宋体" w:eastAsia="宋体" w:cs="宋体"/>
                <w:color w:val="auto"/>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宋体" w:hAnsi="宋体" w:eastAsia="宋体" w:cs="宋体"/>
                <w:color w:val="auto"/>
                <w:kern w:val="0"/>
                <w:sz w:val="20"/>
                <w:szCs w:val="20"/>
                <w:lang w:val="en-US" w:eastAsia="zh-CN" w:bidi="ar"/>
              </w:rPr>
              <w:t>0　</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宋体" w:hAnsi="宋体" w:eastAsia="宋体" w:cs="宋体"/>
                <w:color w:val="auto"/>
                <w:kern w:val="0"/>
                <w:sz w:val="20"/>
                <w:szCs w:val="20"/>
                <w:lang w:val="en-US" w:eastAsia="zh-CN" w:bidi="ar"/>
              </w:rPr>
              <w:t>0　</w:t>
            </w:r>
          </w:p>
        </w:tc>
      </w:tr>
      <w:tr>
        <w:tblPrEx>
          <w:tblLayout w:type="fixed"/>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处理决定数量</w:t>
            </w:r>
          </w:p>
        </w:tc>
      </w:tr>
      <w:tr>
        <w:tblPrEx>
          <w:tblLayout w:type="fixed"/>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宋体" w:hAnsi="宋体" w:eastAsia="宋体" w:cs="宋体"/>
                <w:color w:val="auto"/>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2</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5</w:t>
            </w:r>
          </w:p>
        </w:tc>
      </w:tr>
      <w:tr>
        <w:tblPrEx>
          <w:tblLayout w:type="fixed"/>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宋体" w:hAnsi="宋体" w:eastAsia="宋体" w:cs="宋体"/>
                <w:color w:val="auto"/>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0</w:t>
            </w:r>
          </w:p>
        </w:tc>
      </w:tr>
      <w:tr>
        <w:tblPrEx>
          <w:tblLayout w:type="fixed"/>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tblLayout w:type="fixed"/>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宋体" w:hAnsi="宋体" w:eastAsia="宋体" w:cs="宋体"/>
                <w:color w:val="auto"/>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本年增/减</w:t>
            </w:r>
          </w:p>
        </w:tc>
      </w:tr>
      <w:tr>
        <w:tblPrEx>
          <w:tblLayout w:type="fixed"/>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宋体" w:hAnsi="宋体" w:eastAsia="宋体" w:cs="宋体"/>
                <w:color w:val="auto"/>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2</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Calibri" w:eastAsia="宋体" w:cs="Times New Roman"/>
                <w:color w:val="auto"/>
                <w:kern w:val="0"/>
                <w:sz w:val="20"/>
                <w:szCs w:val="20"/>
                <w:lang w:val="en-US" w:eastAsia="zh-CN" w:bidi="ar"/>
              </w:rPr>
              <w:t>0 </w:t>
            </w:r>
          </w:p>
        </w:tc>
      </w:tr>
      <w:tr>
        <w:tblPrEx>
          <w:tblLayout w:type="fixed"/>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第二十条第（九）项</w:t>
            </w:r>
          </w:p>
        </w:tc>
      </w:tr>
      <w:tr>
        <w:tblPrEx>
          <w:tblLayout w:type="fixed"/>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采购总金额</w:t>
            </w:r>
          </w:p>
        </w:tc>
      </w:tr>
      <w:tr>
        <w:tblPrEx>
          <w:tblLayout w:type="fixed"/>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宋体" w:hAnsi="宋体" w:eastAsia="宋体" w:cs="宋体"/>
                <w:color w:val="auto"/>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6次</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147817元</w:t>
            </w: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auto"/>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b/>
          <w:color w:val="auto"/>
          <w:sz w:val="24"/>
          <w:szCs w:val="24"/>
        </w:rPr>
      </w:pPr>
    </w:p>
    <w:p>
      <w:pPr>
        <w:pStyle w:val="2"/>
        <w:keepNext w:val="0"/>
        <w:keepLines w:val="0"/>
        <w:widowControl/>
        <w:suppressLineNumbers w:val="0"/>
        <w:spacing w:before="0" w:beforeAutospacing="0" w:after="240" w:afterAutospacing="0" w:line="432" w:lineRule="auto"/>
        <w:ind w:left="0" w:firstLine="420"/>
        <w:jc w:val="both"/>
        <w:rPr>
          <w:rFonts w:hint="eastAsia" w:ascii="宋体" w:hAnsi="宋体" w:eastAsia="宋体" w:cs="宋体"/>
          <w:color w:val="auto"/>
          <w:sz w:val="32"/>
          <w:szCs w:val="32"/>
        </w:rPr>
      </w:pPr>
      <w:r>
        <w:rPr>
          <w:rFonts w:hint="eastAsia" w:ascii="宋体" w:hAnsi="宋体" w:eastAsia="宋体" w:cs="宋体"/>
          <w:b/>
          <w:color w:val="auto"/>
          <w:sz w:val="32"/>
          <w:szCs w:val="32"/>
        </w:rPr>
        <w:t>三、收到和处理政府信息公开申请情况</w:t>
      </w:r>
    </w:p>
    <w:tbl>
      <w:tblPr>
        <w:tblStyle w:val="3"/>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4"/>
        <w:gridCol w:w="855"/>
        <w:gridCol w:w="2130"/>
        <w:gridCol w:w="825"/>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47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（本列数据的勾稽关系为：第一项加第二项之和，等于第三项加第四项之和）</w:t>
            </w:r>
          </w:p>
        </w:tc>
        <w:tc>
          <w:tcPr>
            <w:tcW w:w="5592"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479"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2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自然人</w:t>
            </w:r>
          </w:p>
        </w:tc>
        <w:tc>
          <w:tcPr>
            <w:tcW w:w="4065"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法人或其他组织</w:t>
            </w:r>
          </w:p>
        </w:tc>
        <w:tc>
          <w:tcPr>
            <w:tcW w:w="702"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479"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2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商业企业</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科研机构</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社会公益组织</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法律服务机构</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其他</w:t>
            </w:r>
          </w:p>
        </w:tc>
        <w:tc>
          <w:tcPr>
            <w:tcW w:w="702"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4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Calibri" w:hAnsi="Calibri" w:eastAsia="宋体" w:cs="Times New Roman"/>
                <w:color w:val="auto"/>
                <w:kern w:val="2"/>
                <w:sz w:val="20"/>
                <w:szCs w:val="20"/>
                <w:lang w:val="en-US" w:eastAsia="zh-CN" w:bidi="ar"/>
              </w:rPr>
              <w:t>一、本年新收政府信息公开申请数量</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Calibri" w:hAnsi="Calibri" w:eastAsia="宋体" w:cs="Times New Roman"/>
                <w:color w:val="auto"/>
                <w:kern w:val="2"/>
                <w:sz w:val="20"/>
                <w:szCs w:val="20"/>
                <w:lang w:val="en-US" w:eastAsia="zh-CN" w:bidi="ar"/>
              </w:rPr>
              <w:t>二、上年结转政府信息公开申请数量</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三、本年度办理结果</w:t>
            </w:r>
          </w:p>
        </w:tc>
        <w:tc>
          <w:tcPr>
            <w:tcW w:w="2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ascii="楷体" w:hAnsi="楷体" w:eastAsia="楷体" w:cs="楷体"/>
                <w:color w:val="auto"/>
                <w:kern w:val="2"/>
                <w:sz w:val="20"/>
                <w:szCs w:val="20"/>
                <w:lang w:val="en-US" w:eastAsia="zh-CN" w:bidi="ar"/>
              </w:rPr>
              <w:t>（一）予以公开</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（二）部分公开（区分处理的，只计这一情形，不计其他情形）</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（三）不予公开</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1.属于国家秘密</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2.其他法律行政法规禁止公开</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3.危及“三安全一稳定”</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4.保护第三方合法权益</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5.属于三类内部事务信息</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6.属于四类过程性信息</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7.属于行政执法案卷</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8.属于行政查询事项</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（四）无法提供</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1.本机关不掌握相关政府信息</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2.没有现成信息需要另行制作</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3.补正后申请内容仍不明确</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（五）不予处理</w:t>
            </w: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1.信访举报投诉类申请</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2.重复申请</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3.要求提供公开出版物</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4.无正当理由大量反复申请</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855"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1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rFonts w:hint="default"/>
                <w:color w:val="auto"/>
                <w:lang w:val="en-US"/>
              </w:rPr>
            </w:pPr>
            <w:r>
              <w:rPr>
                <w:rFonts w:hint="eastAsia" w:ascii="楷体" w:hAnsi="楷体" w:eastAsia="楷体" w:cs="楷体"/>
                <w:color w:val="auto"/>
                <w:kern w:val="2"/>
                <w:sz w:val="20"/>
                <w:szCs w:val="20"/>
                <w:lang w:val="en-US" w:eastAsia="zh-CN" w:bidi="ar"/>
              </w:rPr>
              <w:t>5.要求行政机关确认或重新出具已获取信息</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（六）其他处理</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298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楷体" w:hAnsi="楷体" w:eastAsia="楷体" w:cs="楷体"/>
                <w:color w:val="auto"/>
                <w:kern w:val="2"/>
                <w:sz w:val="20"/>
                <w:szCs w:val="20"/>
                <w:lang w:val="en-US" w:eastAsia="zh-CN" w:bidi="ar"/>
              </w:rPr>
              <w:t>（七）总计</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4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rPr>
                <w:color w:val="auto"/>
              </w:rPr>
            </w:pPr>
            <w:r>
              <w:rPr>
                <w:rFonts w:hint="eastAsia" w:ascii="Calibri" w:hAnsi="Calibri" w:eastAsia="宋体" w:cs="Times New Roman"/>
                <w:color w:val="auto"/>
                <w:kern w:val="2"/>
                <w:sz w:val="20"/>
                <w:szCs w:val="20"/>
                <w:lang w:val="en-US" w:eastAsia="zh-CN" w:bidi="ar"/>
              </w:rPr>
              <w:t>四、结转下年度继续办理</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8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9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702"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auto"/>
          <w:sz w:val="32"/>
          <w:szCs w:val="32"/>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auto"/>
          <w:sz w:val="32"/>
          <w:szCs w:val="32"/>
        </w:rPr>
      </w:pPr>
      <w:r>
        <w:rPr>
          <w:rFonts w:hint="eastAsia" w:ascii="宋体" w:hAnsi="宋体" w:eastAsia="宋体" w:cs="宋体"/>
          <w:b/>
          <w:color w:val="auto"/>
          <w:sz w:val="32"/>
          <w:szCs w:val="32"/>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auto"/>
        </w:rPr>
      </w:pPr>
    </w:p>
    <w:tbl>
      <w:tblPr>
        <w:tblStyle w:val="3"/>
        <w:tblW w:w="9071" w:type="dxa"/>
        <w:jc w:val="center"/>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default" w:ascii="Calibri" w:hAnsi="Calibri" w:eastAsia="宋体" w:cs="Times New Roman"/>
                <w:color w:val="auto"/>
                <w:kern w:val="2"/>
                <w:sz w:val="20"/>
                <w:szCs w:val="20"/>
                <w:lang w:val="en-US" w:eastAsia="zh-CN" w:bidi="ar"/>
              </w:rPr>
              <w:t> </w:t>
            </w:r>
            <w:r>
              <w:rPr>
                <w:rFonts w:hint="eastAsia" w:ascii="Calibri" w:hAnsi="Calibri" w:eastAsia="宋体" w:cs="Times New Roman"/>
                <w:color w:val="auto"/>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w:t>
            </w:r>
            <w:r>
              <w:rPr>
                <w:rFonts w:hint="default" w:ascii="Calibri" w:hAnsi="Calibri" w:eastAsia="宋体" w:cs="Times New Roman"/>
                <w:color w:val="auto"/>
                <w:kern w:val="2"/>
                <w:sz w:val="20"/>
                <w:szCs w:val="20"/>
                <w:lang w:val="en-US" w:eastAsia="zh-CN" w:bidi="ar"/>
              </w:rPr>
              <w:t> </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0 </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eastAsia" w:ascii="Calibri" w:hAnsi="Calibri" w:eastAsia="宋体" w:cs="Times New Roman"/>
                <w:color w:val="auto"/>
                <w:kern w:val="2"/>
                <w:sz w:val="20"/>
                <w:szCs w:val="20"/>
                <w:lang w:val="en-US" w:eastAsia="zh-CN" w:bidi="ar"/>
              </w:rPr>
              <w:t> 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eastAsia" w:ascii="Calibri" w:hAnsi="Calibri" w:eastAsia="宋体" w:cs="Times New Roman"/>
                <w:color w:val="auto"/>
                <w:kern w:val="2"/>
                <w:sz w:val="20"/>
                <w:szCs w:val="20"/>
                <w:lang w:val="en-US" w:eastAsia="zh-CN" w:bidi="ar"/>
              </w:rPr>
              <w:t> 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eastAsia" w:ascii="Calibri" w:hAnsi="Calibri" w:eastAsia="宋体" w:cs="Times New Roman"/>
                <w:color w:val="auto"/>
                <w:kern w:val="2"/>
                <w:sz w:val="20"/>
                <w:szCs w:val="20"/>
                <w:lang w:val="en-US" w:eastAsia="zh-CN" w:bidi="ar"/>
              </w:rPr>
              <w:t> 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 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0 </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eastAsia" w:ascii="Calibri" w:hAnsi="Calibri" w:eastAsia="宋体" w:cs="Times New Roman"/>
                <w:color w:val="auto"/>
                <w:kern w:val="2"/>
                <w:sz w:val="20"/>
                <w:szCs w:val="20"/>
                <w:lang w:val="en-US" w:eastAsia="zh-CN" w:bidi="ar"/>
              </w:rPr>
              <w:t> 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color w:val="auto"/>
                <w:lang w:val="en-US"/>
              </w:rPr>
            </w:pPr>
            <w:r>
              <w:rPr>
                <w:rFonts w:hint="eastAsia" w:ascii="宋体" w:hAnsi="宋体" w:eastAsia="宋体" w:cs="宋体"/>
                <w:color w:val="auto"/>
                <w:kern w:val="0"/>
                <w:sz w:val="20"/>
                <w:szCs w:val="20"/>
                <w:lang w:val="en-US" w:eastAsia="zh-CN" w:bidi="ar"/>
              </w:rPr>
              <w:t> 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color w:val="auto"/>
              </w:rPr>
            </w:pPr>
            <w:r>
              <w:rPr>
                <w:rFonts w:hint="eastAsia" w:ascii="Calibri" w:hAnsi="Calibri" w:eastAsia="宋体" w:cs="Times New Roman"/>
                <w:color w:val="auto"/>
                <w:kern w:val="2"/>
                <w:sz w:val="20"/>
                <w:szCs w:val="20"/>
                <w:lang w:val="en-US" w:eastAsia="zh-CN" w:bidi="ar"/>
              </w:rPr>
              <w:t>0 </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w:t>
            </w:r>
          </w:p>
        </w:tc>
      </w:tr>
    </w:tbl>
    <w:p>
      <w:pPr>
        <w:keepNext w:val="0"/>
        <w:keepLines w:val="0"/>
        <w:widowControl/>
        <w:suppressLineNumbers w:val="0"/>
        <w:spacing w:before="0" w:beforeAutospacing="0" w:after="0" w:afterAutospacing="0"/>
        <w:ind w:left="0" w:right="0"/>
        <w:jc w:val="left"/>
        <w:rPr>
          <w:color w:val="auto"/>
        </w:rPr>
      </w:pP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auto"/>
          <w:sz w:val="32"/>
          <w:szCs w:val="32"/>
        </w:rPr>
      </w:pPr>
      <w:r>
        <w:rPr>
          <w:rFonts w:hint="eastAsia" w:ascii="宋体" w:hAnsi="宋体" w:eastAsia="宋体" w:cs="宋体"/>
          <w:b/>
          <w:color w:val="auto"/>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rPr>
        <w:t>年，我局信息公开工作取得了一定的成效，但仍存在一些薄弱环节。如：信息公开工作还待进一步深化，信息公开的内容要进一步丰富完善，对信息公开的考核、评议、监督、责任追究等制度有待进一步落实等等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我局将继续贯彻落实好《中华人民共和国政府信息公开条例》和上级关于政务信息公开工作的要求，切实加强信息公开工作的组织领导，切实推进和做好依申请公开工作，促进办事公开透明，提高便民服务水平，进一步加强机关效能工作，依法做好项目审批审核工作，提高规范化、制度化水平，促进水务事业上新台阶。</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color w:val="auto"/>
          <w:sz w:val="32"/>
          <w:szCs w:val="32"/>
        </w:rPr>
      </w:pPr>
      <w:r>
        <w:rPr>
          <w:rFonts w:hint="eastAsia" w:ascii="宋体" w:hAnsi="宋体" w:eastAsia="宋体" w:cs="宋体"/>
          <w:b/>
          <w:color w:val="auto"/>
          <w:sz w:val="32"/>
          <w:szCs w:val="32"/>
        </w:rPr>
        <w:t>六、其他需要报告的事项</w:t>
      </w:r>
    </w:p>
    <w:p>
      <w:pPr>
        <w:ind w:firstLine="320" w:firstLineChars="1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无</w:t>
      </w:r>
    </w:p>
    <w:p>
      <w:pPr>
        <w:jc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饶平县水务局</w:t>
      </w:r>
    </w:p>
    <w:p>
      <w:pPr>
        <w:jc w:val="right"/>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2021年1月14日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83B0F"/>
    <w:multiLevelType w:val="singleLevel"/>
    <w:tmpl w:val="37383B0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94ECF"/>
    <w:rsid w:val="09494ECF"/>
    <w:rsid w:val="0B224E69"/>
    <w:rsid w:val="157D47E2"/>
    <w:rsid w:val="2AE21008"/>
    <w:rsid w:val="30D44825"/>
    <w:rsid w:val="32E600A7"/>
    <w:rsid w:val="4A05385D"/>
    <w:rsid w:val="589A54AA"/>
    <w:rsid w:val="5E8F7868"/>
    <w:rsid w:val="630B070F"/>
    <w:rsid w:val="6B726594"/>
    <w:rsid w:val="6E890E30"/>
    <w:rsid w:val="74090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styleId="7">
    <w:name w:val="HTML Code"/>
    <w:basedOn w:val="4"/>
    <w:qFormat/>
    <w:uiPriority w:val="0"/>
    <w:rPr>
      <w:rFonts w:ascii="Courier New" w:hAnsi="Courier New"/>
      <w:sz w:val="20"/>
    </w:rPr>
  </w:style>
  <w:style w:type="character" w:customStyle="1" w:styleId="8">
    <w:name w:val="bg01"/>
    <w:basedOn w:val="4"/>
    <w:qFormat/>
    <w:uiPriority w:val="0"/>
  </w:style>
  <w:style w:type="character" w:customStyle="1" w:styleId="9">
    <w:name w:val="m01"/>
    <w:basedOn w:val="4"/>
    <w:qFormat/>
    <w:uiPriority w:val="0"/>
  </w:style>
  <w:style w:type="character" w:customStyle="1" w:styleId="10">
    <w:name w:val="m011"/>
    <w:basedOn w:val="4"/>
    <w:qFormat/>
    <w:uiPriority w:val="0"/>
  </w:style>
  <w:style w:type="character" w:customStyle="1" w:styleId="11">
    <w:name w:val="name"/>
    <w:basedOn w:val="4"/>
    <w:qFormat/>
    <w:uiPriority w:val="0"/>
    <w:rPr>
      <w:color w:val="6A6A6A"/>
      <w:u w:val="single"/>
    </w:rPr>
  </w:style>
  <w:style w:type="character" w:customStyle="1" w:styleId="12">
    <w:name w:val="dates"/>
    <w:basedOn w:val="4"/>
    <w:qFormat/>
    <w:uiPriority w:val="0"/>
  </w:style>
  <w:style w:type="character" w:customStyle="1" w:styleId="13">
    <w:name w:val="gwds_nopic"/>
    <w:basedOn w:val="4"/>
    <w:qFormat/>
    <w:uiPriority w:val="0"/>
  </w:style>
  <w:style w:type="character" w:customStyle="1" w:styleId="14">
    <w:name w:val="gwds_nopic1"/>
    <w:basedOn w:val="4"/>
    <w:qFormat/>
    <w:uiPriority w:val="0"/>
  </w:style>
  <w:style w:type="character" w:customStyle="1" w:styleId="15">
    <w:name w:val="font2"/>
    <w:basedOn w:val="4"/>
    <w:qFormat/>
    <w:uiPriority w:val="0"/>
  </w:style>
  <w:style w:type="character" w:customStyle="1" w:styleId="16">
    <w:name w:val="font3"/>
    <w:basedOn w:val="4"/>
    <w:qFormat/>
    <w:uiPriority w:val="0"/>
  </w:style>
  <w:style w:type="character" w:customStyle="1" w:styleId="17">
    <w:name w:val="laypage_curr"/>
    <w:basedOn w:val="4"/>
    <w:qFormat/>
    <w:uiPriority w:val="0"/>
    <w:rPr>
      <w:color w:val="FFFDF4"/>
      <w:shd w:val="clear" w:fill="0B67A6"/>
    </w:rPr>
  </w:style>
  <w:style w:type="character" w:customStyle="1" w:styleId="18">
    <w:name w:val="tabg"/>
    <w:basedOn w:val="4"/>
    <w:qFormat/>
    <w:uiPriority w:val="0"/>
    <w:rPr>
      <w:color w:val="FFFFFF"/>
      <w:sz w:val="27"/>
      <w:szCs w:val="27"/>
    </w:rPr>
  </w:style>
  <w:style w:type="character" w:customStyle="1" w:styleId="19">
    <w:name w:val="bg02"/>
    <w:basedOn w:val="4"/>
    <w:qFormat/>
    <w:uiPriority w:val="0"/>
  </w:style>
  <w:style w:type="character" w:customStyle="1" w:styleId="20">
    <w:name w:val="more4"/>
    <w:basedOn w:val="4"/>
    <w:qFormat/>
    <w:uiPriority w:val="0"/>
    <w:rPr>
      <w:color w:val="666666"/>
      <w:sz w:val="18"/>
      <w:szCs w:val="18"/>
    </w:rPr>
  </w:style>
  <w:style w:type="character" w:customStyle="1" w:styleId="21">
    <w:name w:val="hover24"/>
    <w:basedOn w:val="4"/>
    <w:qFormat/>
    <w:uiPriority w:val="0"/>
    <w:rPr>
      <w:color w:val="01529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27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2020-01-14T03:16:00Z</dcterms:created>
  <dc:creator>Administrator</dc:creator>
  <cp:lastModifiedBy>吴静芬</cp:lastModifiedBy>
  <cp:lastPrinted>2021-01-08T01:46:00Z</cp:lastPrinted>
  <dcterms:modified xsi:type="dcterms:W3CDTF">2021-01-15T02:44:02Z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