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B3" w:rsidRPr="0093202E" w:rsidRDefault="00CC0F5E" w:rsidP="00DC386B">
      <w:pPr>
        <w:widowControl/>
        <w:spacing w:line="360" w:lineRule="atLeast"/>
        <w:ind w:firstLine="482"/>
        <w:jc w:val="center"/>
        <w:rPr>
          <w:rFonts w:ascii="黑体" w:eastAsia="黑体" w:hAnsi="黑体" w:cs="宋体"/>
          <w:color w:val="3D3D3F"/>
          <w:kern w:val="0"/>
          <w:sz w:val="32"/>
          <w:szCs w:val="32"/>
        </w:rPr>
      </w:pPr>
      <w:r w:rsidRPr="0093202E">
        <w:rPr>
          <w:rFonts w:ascii="黑体" w:eastAsia="黑体" w:hAnsi="黑体" w:cs="宋体" w:hint="eastAsia"/>
          <w:color w:val="3D3D3F"/>
          <w:kern w:val="0"/>
          <w:sz w:val="32"/>
          <w:szCs w:val="32"/>
        </w:rPr>
        <w:t>《</w:t>
      </w:r>
      <w:r w:rsidR="002A40CB" w:rsidRPr="002A40CB">
        <w:rPr>
          <w:rFonts w:ascii="黑体" w:eastAsia="黑体" w:hAnsi="黑体" w:cs="宋体" w:hint="eastAsia"/>
          <w:color w:val="3D3D3F"/>
          <w:kern w:val="0"/>
          <w:sz w:val="32"/>
          <w:szCs w:val="32"/>
        </w:rPr>
        <w:t>饶平县公共交通发展规划（2018-2035年）</w:t>
      </w:r>
      <w:r w:rsidRPr="0093202E">
        <w:rPr>
          <w:rFonts w:ascii="黑体" w:eastAsia="黑体" w:hAnsi="黑体" w:cs="宋体" w:hint="eastAsia"/>
          <w:color w:val="3D3D3F"/>
          <w:kern w:val="0"/>
          <w:sz w:val="32"/>
          <w:szCs w:val="32"/>
        </w:rPr>
        <w:t>》</w:t>
      </w:r>
    </w:p>
    <w:p w:rsidR="00CC0F5E" w:rsidRPr="0093202E" w:rsidRDefault="00CC0F5E" w:rsidP="00DC386B">
      <w:pPr>
        <w:widowControl/>
        <w:spacing w:line="360" w:lineRule="atLeast"/>
        <w:ind w:firstLine="482"/>
        <w:jc w:val="center"/>
        <w:rPr>
          <w:rFonts w:ascii="黑体" w:eastAsia="黑体" w:hAnsi="黑体" w:cs="宋体"/>
          <w:color w:val="3D3D3F"/>
          <w:kern w:val="0"/>
          <w:sz w:val="32"/>
          <w:szCs w:val="32"/>
        </w:rPr>
      </w:pPr>
      <w:r w:rsidRPr="0093202E">
        <w:rPr>
          <w:rFonts w:ascii="黑体" w:eastAsia="黑体" w:hAnsi="黑体" w:cs="宋体" w:hint="eastAsia"/>
          <w:color w:val="3D3D3F"/>
          <w:kern w:val="0"/>
          <w:sz w:val="32"/>
          <w:szCs w:val="32"/>
        </w:rPr>
        <w:t>规划方案简介</w:t>
      </w:r>
    </w:p>
    <w:p w:rsidR="00A078B3" w:rsidRPr="00DC386B" w:rsidRDefault="00A078B3" w:rsidP="008275B5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b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b/>
          <w:color w:val="3D3D3F"/>
          <w:kern w:val="0"/>
          <w:szCs w:val="21"/>
        </w:rPr>
        <w:t>一、规划范围</w:t>
      </w:r>
    </w:p>
    <w:p w:rsidR="00AC0EBC" w:rsidRPr="00DC386B" w:rsidRDefault="00AC0EBC" w:rsidP="00AC0EBC">
      <w:pPr>
        <w:widowControl/>
        <w:spacing w:before="100" w:beforeAutospacing="1" w:after="375" w:line="360" w:lineRule="atLeast"/>
        <w:ind w:firstLine="480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与《</w:t>
      </w:r>
      <w:r w:rsidR="00F31501" w:rsidRPr="00F31501">
        <w:rPr>
          <w:rFonts w:asciiTheme="minorEastAsia" w:hAnsiTheme="minorEastAsia" w:cs="宋体" w:hint="eastAsia"/>
          <w:color w:val="3D3D3F"/>
          <w:kern w:val="0"/>
          <w:szCs w:val="21"/>
        </w:rPr>
        <w:t>潮州市饶平县城总体规划（2012-2035年）</w:t>
      </w: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》中的城市规划空间范围相一致，具体规划范围涵盖以下三个层面：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核心规划区：为县城规划区（主城区）控制范围，西北至</w:t>
      </w:r>
      <w:proofErr w:type="gramStart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汕汾</w:t>
      </w:r>
      <w:proofErr w:type="gramEnd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高速公路，东北至坑尾山分水岭、东至广东与福建省界</w:t>
      </w:r>
      <w:proofErr w:type="gramStart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汾</w:t>
      </w:r>
      <w:proofErr w:type="gramEnd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水关，东南至潮州港经济区科技三路（规划）和黄冈河中线，南以海岸线为界，西以下浮山龟山东面城西路（中线）为界，西南以港城大道（规划）西段（屿山、规划县城第二污水处理厂南侧）、饶平大道南延线中线为界。控制范围土地面积约90.1平方公里。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重点规划区：为县城协调区，包括县城规划区和周边的钱东镇、高堂镇、</w:t>
      </w:r>
      <w:proofErr w:type="gramStart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联饶镇</w:t>
      </w:r>
      <w:proofErr w:type="gramEnd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、</w:t>
      </w:r>
      <w:proofErr w:type="gramStart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樟</w:t>
      </w:r>
      <w:proofErr w:type="gramEnd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溪镇、汫洲镇、海山镇、大</w:t>
      </w:r>
      <w:proofErr w:type="gramStart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埕</w:t>
      </w:r>
      <w:proofErr w:type="gramEnd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镇、</w:t>
      </w:r>
      <w:proofErr w:type="gramStart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柘</w:t>
      </w:r>
      <w:proofErr w:type="gramEnd"/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林镇、所城镇等九个镇，陆域面积约608.56平方公里。</w:t>
      </w:r>
    </w:p>
    <w:p w:rsid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全局规划区：为饶平县全域，包括全县21个镇、1个林场，陆域总面积约1694.06平方公里。</w:t>
      </w:r>
    </w:p>
    <w:p w:rsidR="00CC0F5E" w:rsidRPr="00DC386B" w:rsidRDefault="00CC0F5E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b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b/>
          <w:color w:val="3D3D3F"/>
          <w:kern w:val="0"/>
          <w:szCs w:val="21"/>
        </w:rPr>
        <w:t>二、规划期限</w:t>
      </w:r>
    </w:p>
    <w:p w:rsidR="00AC0EBC" w:rsidRPr="00DC386B" w:rsidRDefault="00AC0EBC" w:rsidP="00913027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规划期限为 2018-203</w:t>
      </w:r>
      <w:r w:rsidRPr="00DC386B">
        <w:rPr>
          <w:rFonts w:asciiTheme="minorEastAsia" w:hAnsiTheme="minorEastAsia" w:cs="宋体"/>
          <w:color w:val="3D3D3F"/>
          <w:kern w:val="0"/>
          <w:szCs w:val="21"/>
        </w:rPr>
        <w:t>5</w:t>
      </w: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年，其中：近期至 202</w:t>
      </w:r>
      <w:r w:rsidR="00F31501">
        <w:rPr>
          <w:rFonts w:asciiTheme="minorEastAsia" w:hAnsiTheme="minorEastAsia" w:cs="宋体"/>
          <w:color w:val="3D3D3F"/>
          <w:kern w:val="0"/>
          <w:szCs w:val="21"/>
        </w:rPr>
        <w:t>2</w:t>
      </w: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年，中期至 20</w:t>
      </w:r>
      <w:r w:rsidRPr="00DC386B">
        <w:rPr>
          <w:rFonts w:asciiTheme="minorEastAsia" w:hAnsiTheme="minorEastAsia" w:cs="宋体"/>
          <w:color w:val="3D3D3F"/>
          <w:kern w:val="0"/>
          <w:szCs w:val="21"/>
        </w:rPr>
        <w:t>30</w:t>
      </w: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年，远期至 203</w:t>
      </w:r>
      <w:r w:rsidRPr="00DC386B">
        <w:rPr>
          <w:rFonts w:asciiTheme="minorEastAsia" w:hAnsiTheme="minorEastAsia" w:cs="宋体"/>
          <w:color w:val="3D3D3F"/>
          <w:kern w:val="0"/>
          <w:szCs w:val="21"/>
        </w:rPr>
        <w:t>5</w:t>
      </w: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年。</w:t>
      </w:r>
    </w:p>
    <w:p w:rsidR="00CC0F5E" w:rsidRPr="00DC386B" w:rsidRDefault="00CC0F5E" w:rsidP="008275B5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b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b/>
          <w:color w:val="3D3D3F"/>
          <w:kern w:val="0"/>
          <w:szCs w:val="21"/>
        </w:rPr>
        <w:t>三、规划依据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（1）《中华人民共和国城乡规划法》（2015年修正）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（2）《国务院关于城市优先发展公共交通的指导意见》（2012年）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（3）《城市道路交通规划设计规范》（GB50220-95）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（4）《城市道路公共交通站、场、厂工程设计规范》（CJJ/T 15-2011）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（5）《广东省关于城市优先发展公共交通的指导意见》（2013年）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（6）《潮州市饶平县城总体规划（2012-2035年）》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（7）《潮州市饶平县土地利用总体规划（2010-2020年）调整完善方案》（2017）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（8）《饶平县县域乡村建设规划（2018-2035年）》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（9）《饶平县“十三五”综合运输体系发展规划》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（10）《饶平县公路网规划（2016-2035年）》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lastRenderedPageBreak/>
        <w:t>（11）《饶平县国民经济和社会发展第十三个五年规划纲要》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（11）饶平县城各片区控制性详细规划（现行）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（13）《饶平旅游发展总体规划（2016-2030年）》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（14）《闽粤经济合作区发展规划（2015-2030年）》</w:t>
      </w:r>
    </w:p>
    <w:p w:rsidR="00251932" w:rsidRP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（15）《潮州港经济区总体规划（2011-2030年）》</w:t>
      </w:r>
      <w:bookmarkStart w:id="0" w:name="_GoBack"/>
      <w:bookmarkEnd w:id="0"/>
    </w:p>
    <w:p w:rsidR="00251932" w:rsidRDefault="00251932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251932">
        <w:rPr>
          <w:rFonts w:asciiTheme="minorEastAsia" w:hAnsiTheme="minorEastAsia" w:cs="宋体" w:hint="eastAsia"/>
          <w:color w:val="3D3D3F"/>
          <w:kern w:val="0"/>
          <w:szCs w:val="21"/>
        </w:rPr>
        <w:t>（16）饶平县22个镇（场）的总体规划和部分村庄规划</w:t>
      </w:r>
    </w:p>
    <w:p w:rsidR="00A078B3" w:rsidRPr="00DC386B" w:rsidRDefault="00CC0F5E" w:rsidP="00251932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b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b/>
          <w:color w:val="3D3D3F"/>
          <w:kern w:val="0"/>
          <w:szCs w:val="21"/>
        </w:rPr>
        <w:t>四</w:t>
      </w:r>
      <w:r w:rsidR="00A078B3" w:rsidRPr="00DC386B">
        <w:rPr>
          <w:rFonts w:asciiTheme="minorEastAsia" w:hAnsiTheme="minorEastAsia" w:cs="宋体" w:hint="eastAsia"/>
          <w:b/>
          <w:color w:val="3D3D3F"/>
          <w:kern w:val="0"/>
          <w:szCs w:val="21"/>
        </w:rPr>
        <w:t>、</w:t>
      </w:r>
      <w:r w:rsidR="00A81F92" w:rsidRPr="00DC386B">
        <w:rPr>
          <w:rFonts w:asciiTheme="minorEastAsia" w:hAnsiTheme="minorEastAsia" w:cs="宋体" w:hint="eastAsia"/>
          <w:b/>
          <w:color w:val="3D3D3F"/>
          <w:kern w:val="0"/>
          <w:szCs w:val="21"/>
        </w:rPr>
        <w:t>发展目标</w:t>
      </w:r>
    </w:p>
    <w:p w:rsidR="00206E70" w:rsidRPr="00DC386B" w:rsidRDefault="00A81F92" w:rsidP="00206E70">
      <w:pPr>
        <w:widowControl/>
        <w:spacing w:before="100" w:beforeAutospacing="1" w:after="375" w:line="360" w:lineRule="atLeast"/>
        <w:ind w:firstLine="480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（一）</w:t>
      </w:r>
      <w:r w:rsidR="00206E70" w:rsidRPr="00DC386B">
        <w:rPr>
          <w:rFonts w:asciiTheme="minorEastAsia" w:hAnsiTheme="minorEastAsia" w:cs="宋体"/>
          <w:color w:val="3D3D3F"/>
          <w:kern w:val="0"/>
          <w:szCs w:val="21"/>
        </w:rPr>
        <w:t>近期目标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（2018-202</w:t>
      </w:r>
      <w:r w:rsidR="00F31501">
        <w:rPr>
          <w:rFonts w:asciiTheme="minorEastAsia" w:hAnsiTheme="minorEastAsia" w:cs="宋体"/>
          <w:color w:val="3D3D3F"/>
          <w:kern w:val="0"/>
          <w:szCs w:val="21"/>
        </w:rPr>
        <w:t>2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年）</w:t>
      </w:r>
    </w:p>
    <w:p w:rsidR="00F31501" w:rsidRPr="00F31501" w:rsidRDefault="00F31501" w:rsidP="00F31501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F31501">
        <w:rPr>
          <w:rFonts w:asciiTheme="minorEastAsia" w:hAnsiTheme="minorEastAsia" w:cs="宋体" w:hint="eastAsia"/>
          <w:color w:val="3D3D3F"/>
          <w:kern w:val="0"/>
          <w:szCs w:val="21"/>
        </w:rPr>
        <w:t>以完善城区基本公共交通服务为首要任务，增加城区公共交通运力规模，逐步提高城市公共交通线网密度、站点覆盖率和服务水平，公共交通较好满足社会公众通勤出行需求，统筹推进城乡客运协调发展，加快推进建制村客运服务全覆盖，力争通过3年的努力，基本建成“城区、城乡、镇内”多层次公交为基础，高铁快线、旅游专线等多元化公交为补充的公共交通服务体系。城乡公共交通基本确立“三个一”的发展格局：</w:t>
      </w:r>
    </w:p>
    <w:p w:rsidR="00F31501" w:rsidRPr="00F31501" w:rsidRDefault="00F31501" w:rsidP="00F31501">
      <w:pPr>
        <w:pStyle w:val="a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color w:val="3D3D3F"/>
          <w:kern w:val="0"/>
          <w:sz w:val="21"/>
          <w:szCs w:val="21"/>
        </w:rPr>
      </w:pPr>
      <w:r w:rsidRPr="00F31501">
        <w:rPr>
          <w:rFonts w:asciiTheme="minorEastAsia" w:eastAsiaTheme="minorEastAsia" w:hAnsiTheme="minorEastAsia" w:cs="宋体" w:hint="eastAsia"/>
          <w:color w:val="3D3D3F"/>
          <w:kern w:val="0"/>
          <w:sz w:val="21"/>
          <w:szCs w:val="21"/>
        </w:rPr>
        <w:t>一网覆盖：县城区基本实现公交服务全覆盖，</w:t>
      </w:r>
      <w:r w:rsidRPr="00F31501">
        <w:rPr>
          <w:rFonts w:asciiTheme="minorEastAsia" w:eastAsiaTheme="minorEastAsia" w:hAnsiTheme="minorEastAsia" w:cs="宋体"/>
          <w:color w:val="3D3D3F"/>
          <w:kern w:val="0"/>
          <w:sz w:val="21"/>
          <w:szCs w:val="21"/>
        </w:rPr>
        <w:t>355</w:t>
      </w:r>
      <w:r w:rsidRPr="00F31501">
        <w:rPr>
          <w:rFonts w:asciiTheme="minorEastAsia" w:eastAsiaTheme="minorEastAsia" w:hAnsiTheme="minorEastAsia" w:cs="宋体" w:hint="eastAsia"/>
          <w:color w:val="3D3D3F"/>
          <w:kern w:val="0"/>
          <w:sz w:val="21"/>
          <w:szCs w:val="21"/>
        </w:rPr>
        <w:t>个建制村</w:t>
      </w:r>
      <w:r w:rsidRPr="00F31501">
        <w:rPr>
          <w:rFonts w:asciiTheme="minorEastAsia" w:eastAsiaTheme="minorEastAsia" w:hAnsiTheme="minorEastAsia" w:cs="宋体"/>
          <w:color w:val="3D3D3F"/>
          <w:kern w:val="0"/>
          <w:sz w:val="21"/>
          <w:szCs w:val="21"/>
        </w:rPr>
        <w:t>100%</w:t>
      </w:r>
      <w:r w:rsidRPr="00F31501">
        <w:rPr>
          <w:rFonts w:asciiTheme="minorEastAsia" w:eastAsiaTheme="minorEastAsia" w:hAnsiTheme="minorEastAsia" w:cs="宋体" w:hint="eastAsia"/>
          <w:color w:val="3D3D3F"/>
          <w:kern w:val="0"/>
          <w:sz w:val="21"/>
          <w:szCs w:val="21"/>
        </w:rPr>
        <w:t>实现公交服务。</w:t>
      </w:r>
    </w:p>
    <w:p w:rsidR="00F31501" w:rsidRPr="00F31501" w:rsidRDefault="00F31501" w:rsidP="00F31501">
      <w:pPr>
        <w:pStyle w:val="a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color w:val="3D3D3F"/>
          <w:kern w:val="0"/>
          <w:sz w:val="21"/>
          <w:szCs w:val="21"/>
        </w:rPr>
      </w:pPr>
      <w:r w:rsidRPr="00F31501">
        <w:rPr>
          <w:rFonts w:asciiTheme="minorEastAsia" w:eastAsiaTheme="minorEastAsia" w:hAnsiTheme="minorEastAsia" w:cs="宋体" w:hint="eastAsia"/>
          <w:color w:val="3D3D3F"/>
          <w:kern w:val="0"/>
          <w:sz w:val="21"/>
          <w:szCs w:val="21"/>
        </w:rPr>
        <w:t>一次换乘：县域范围内任意区域公共交通出行一次换乘可达中心城区。</w:t>
      </w:r>
    </w:p>
    <w:p w:rsidR="00F31501" w:rsidRPr="00F31501" w:rsidRDefault="00F31501" w:rsidP="00F31501">
      <w:pPr>
        <w:pStyle w:val="a9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eastAsiaTheme="minorEastAsia" w:hAnsiTheme="minorEastAsia" w:cs="宋体"/>
          <w:color w:val="3D3D3F"/>
          <w:kern w:val="0"/>
          <w:sz w:val="21"/>
          <w:szCs w:val="21"/>
        </w:rPr>
      </w:pPr>
      <w:r w:rsidRPr="00F31501">
        <w:rPr>
          <w:rFonts w:asciiTheme="minorEastAsia" w:eastAsiaTheme="minorEastAsia" w:hAnsiTheme="minorEastAsia" w:cs="宋体" w:hint="eastAsia"/>
          <w:color w:val="3D3D3F"/>
          <w:kern w:val="0"/>
          <w:sz w:val="21"/>
          <w:szCs w:val="21"/>
        </w:rPr>
        <w:t>一个小时：县域各组团主要功能中心之间公共交通出行</w:t>
      </w:r>
      <w:r w:rsidRPr="00F31501">
        <w:rPr>
          <w:rFonts w:asciiTheme="minorEastAsia" w:eastAsiaTheme="minorEastAsia" w:hAnsiTheme="minorEastAsia" w:cs="宋体"/>
          <w:color w:val="3D3D3F"/>
          <w:kern w:val="0"/>
          <w:sz w:val="21"/>
          <w:szCs w:val="21"/>
        </w:rPr>
        <w:t>1</w:t>
      </w:r>
      <w:r w:rsidRPr="00F31501">
        <w:rPr>
          <w:rFonts w:asciiTheme="minorEastAsia" w:eastAsiaTheme="minorEastAsia" w:hAnsiTheme="minorEastAsia" w:cs="宋体" w:hint="eastAsia"/>
          <w:color w:val="3D3D3F"/>
          <w:kern w:val="0"/>
          <w:sz w:val="21"/>
          <w:szCs w:val="21"/>
        </w:rPr>
        <w:t>小时可达。</w:t>
      </w:r>
    </w:p>
    <w:p w:rsidR="00206E70" w:rsidRPr="00DC386B" w:rsidRDefault="00A81F92" w:rsidP="00206E70">
      <w:pPr>
        <w:widowControl/>
        <w:spacing w:before="100" w:beforeAutospacing="1" w:after="375" w:line="360" w:lineRule="atLeast"/>
        <w:ind w:firstLine="480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（二）</w:t>
      </w:r>
      <w:r w:rsidR="00206E70" w:rsidRPr="00DC386B">
        <w:rPr>
          <w:rFonts w:asciiTheme="minorEastAsia" w:hAnsiTheme="minorEastAsia" w:cs="宋体"/>
          <w:color w:val="3D3D3F"/>
          <w:kern w:val="0"/>
          <w:szCs w:val="21"/>
        </w:rPr>
        <w:t>中期目标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（202</w:t>
      </w:r>
      <w:r w:rsidR="00B10C83">
        <w:rPr>
          <w:rFonts w:asciiTheme="minorEastAsia" w:hAnsiTheme="minorEastAsia" w:cs="宋体"/>
          <w:color w:val="3D3D3F"/>
          <w:kern w:val="0"/>
          <w:szCs w:val="21"/>
        </w:rPr>
        <w:t>2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-2030年）</w:t>
      </w:r>
    </w:p>
    <w:p w:rsidR="00206E70" w:rsidRPr="00DC386B" w:rsidRDefault="00B10C83" w:rsidP="00913027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B10C83">
        <w:rPr>
          <w:rFonts w:asciiTheme="minorEastAsia" w:hAnsiTheme="minorEastAsia" w:cs="宋体" w:hint="eastAsia"/>
          <w:color w:val="3D3D3F"/>
          <w:kern w:val="0"/>
          <w:szCs w:val="21"/>
        </w:rPr>
        <w:t>中期重点提升公共交通出行效率和服务品质，实现公共交通由基本保障公交向现代品质公交转变，城乡公共交通服务差距不断缩小且更加可持续发展。到2030年，基本建成以“快线公交+干线公交+支线公交”等多层次常规公交服务网络为主体，高品质的高铁快线、旅游专线等客运系统为补充，公共自行车等慢行系统为延伸的公共交通体系，公共交通吸引力和竞争力下显著增强，城区公共交通出行分担率达12%以上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。</w:t>
      </w:r>
    </w:p>
    <w:p w:rsidR="00206E70" w:rsidRPr="00DC386B" w:rsidRDefault="00A81F92" w:rsidP="00206E70">
      <w:pPr>
        <w:widowControl/>
        <w:spacing w:before="100" w:beforeAutospacing="1" w:after="375" w:line="360" w:lineRule="atLeast"/>
        <w:ind w:firstLine="480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DC386B">
        <w:rPr>
          <w:rFonts w:asciiTheme="minorEastAsia" w:hAnsiTheme="minorEastAsia" w:cs="宋体" w:hint="eastAsia"/>
          <w:color w:val="3D3D3F"/>
          <w:kern w:val="0"/>
          <w:szCs w:val="21"/>
        </w:rPr>
        <w:t>（三）</w:t>
      </w:r>
      <w:r w:rsidR="00206E70" w:rsidRPr="00DC386B">
        <w:rPr>
          <w:rFonts w:asciiTheme="minorEastAsia" w:hAnsiTheme="minorEastAsia" w:cs="宋体"/>
          <w:color w:val="3D3D3F"/>
          <w:kern w:val="0"/>
          <w:szCs w:val="21"/>
        </w:rPr>
        <w:t>远期目标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（2030-2035年）</w:t>
      </w:r>
    </w:p>
    <w:p w:rsidR="00206E70" w:rsidRPr="00DC386B" w:rsidRDefault="00B10C83" w:rsidP="00913027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B10C83">
        <w:rPr>
          <w:rFonts w:asciiTheme="minorEastAsia" w:hAnsiTheme="minorEastAsia" w:cs="宋体" w:hint="eastAsia"/>
          <w:color w:val="3D3D3F"/>
          <w:kern w:val="0"/>
          <w:szCs w:val="21"/>
        </w:rPr>
        <w:t>展望2035年，经过三个五年规划的努力和发展，饶平基本建成“公交优先、公交友好”的现代滨海新城公交示范县，城乡一体、普惠均等、优质多元、智慧低碳、健康持续的城市公共交通体系基本确立，社会公众出行首选公交、乐乘公交、</w:t>
      </w:r>
      <w:proofErr w:type="gramStart"/>
      <w:r w:rsidRPr="00B10C83">
        <w:rPr>
          <w:rFonts w:asciiTheme="minorEastAsia" w:hAnsiTheme="minorEastAsia" w:cs="宋体" w:hint="eastAsia"/>
          <w:color w:val="3D3D3F"/>
          <w:kern w:val="0"/>
          <w:szCs w:val="21"/>
        </w:rPr>
        <w:t>优享公交</w:t>
      </w:r>
      <w:proofErr w:type="gramEnd"/>
      <w:r w:rsidRPr="00B10C83">
        <w:rPr>
          <w:rFonts w:asciiTheme="minorEastAsia" w:hAnsiTheme="minorEastAsia" w:cs="宋体" w:hint="eastAsia"/>
          <w:color w:val="3D3D3F"/>
          <w:kern w:val="0"/>
          <w:szCs w:val="21"/>
        </w:rPr>
        <w:t>，公共交通成为粤东新兴滨海城市的靓丽名片。城市公共交通出行分担率达20%以上，市区社会公众公交出行满意度达90%以上</w:t>
      </w:r>
      <w:r w:rsidR="00206E70" w:rsidRPr="00DC386B">
        <w:rPr>
          <w:rFonts w:asciiTheme="minorEastAsia" w:hAnsiTheme="minorEastAsia" w:cs="宋体" w:hint="eastAsia"/>
          <w:color w:val="3D3D3F"/>
          <w:kern w:val="0"/>
          <w:szCs w:val="21"/>
        </w:rPr>
        <w:t>。</w:t>
      </w:r>
    </w:p>
    <w:p w:rsidR="0093202E" w:rsidRPr="0046312E" w:rsidRDefault="0046312E" w:rsidP="008275B5">
      <w:pPr>
        <w:widowControl/>
        <w:spacing w:beforeLines="50" w:before="156" w:after="120" w:line="360" w:lineRule="atLeast"/>
        <w:ind w:firstLine="482"/>
        <w:jc w:val="left"/>
        <w:rPr>
          <w:rFonts w:asciiTheme="minorEastAsia" w:hAnsiTheme="minorEastAsia" w:cs="宋体"/>
          <w:b/>
          <w:color w:val="000000" w:themeColor="text1"/>
          <w:kern w:val="0"/>
          <w:szCs w:val="21"/>
        </w:rPr>
      </w:pPr>
      <w:r w:rsidRPr="0046312E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五</w:t>
      </w:r>
      <w:r w:rsidR="00FF6FB6" w:rsidRPr="0046312E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、</w:t>
      </w:r>
      <w:r w:rsidR="00790C62" w:rsidRPr="0046312E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规划</w:t>
      </w:r>
      <w:r w:rsidR="00A078B3" w:rsidRPr="0046312E">
        <w:rPr>
          <w:rFonts w:asciiTheme="minorEastAsia" w:hAnsiTheme="minorEastAsia" w:cs="宋体" w:hint="eastAsia"/>
          <w:b/>
          <w:color w:val="000000" w:themeColor="text1"/>
          <w:kern w:val="0"/>
          <w:szCs w:val="21"/>
        </w:rPr>
        <w:t>方案</w:t>
      </w:r>
    </w:p>
    <w:p w:rsidR="0046312E" w:rsidRPr="0046312E" w:rsidRDefault="0046312E" w:rsidP="0046312E">
      <w:pPr>
        <w:widowControl/>
        <w:spacing w:beforeLines="50" w:before="156" w:afterLines="50" w:after="156" w:line="360" w:lineRule="auto"/>
        <w:ind w:firstLine="482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46312E">
        <w:rPr>
          <w:rFonts w:asciiTheme="minorEastAsia" w:hAnsiTheme="minorEastAsia" w:cs="宋体"/>
          <w:color w:val="000000" w:themeColor="text1"/>
          <w:kern w:val="0"/>
          <w:szCs w:val="21"/>
        </w:rPr>
        <w:t>（一）公交线网方案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/>
          <w:color w:val="3D3D3F"/>
          <w:kern w:val="0"/>
          <w:szCs w:val="21"/>
        </w:rPr>
        <w:t>至2022年，饶平县县域范围内规划公交线路26条，共531.3公里。其中区域公交快线1条，共45.3公里；城镇（乡）公交快线8条，共计212.1公里；高铁公交快线5条，共计107.8公里；旅游公交专线2条，共计39.3公里；城区公交干线5条，共计34.1公里；镇镇（村）公交支线5条，共计92.7公里。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/>
          <w:color w:val="3D3D3F"/>
          <w:kern w:val="0"/>
          <w:szCs w:val="21"/>
        </w:rPr>
        <w:t>至2035年，饶平县县域范围内规划公交线路47条，共872.1公里。其中区域公交快线1条，共45.3公里；城镇（乡）公交快线14条，共计298.2公里；高铁公交快线9条，共计197.9公里；旅游公交专线2条，共计39.3公里；城区公交干线13条，共计105.1公里；镇镇（村）公交支线9条，共计186.2公里。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公交线网规划方案详见附图</w:t>
      </w:r>
      <w:r w:rsidR="00536FBC" w:rsidRPr="003E04DF">
        <w:rPr>
          <w:rFonts w:asciiTheme="minorEastAsia" w:hAnsiTheme="minorEastAsia" w:cs="宋体" w:hint="eastAsia"/>
          <w:color w:val="3D3D3F"/>
          <w:kern w:val="0"/>
          <w:szCs w:val="21"/>
        </w:rPr>
        <w:t>1</w:t>
      </w:r>
      <w:r w:rsidR="00536FBC" w:rsidRPr="003E04DF">
        <w:rPr>
          <w:rFonts w:asciiTheme="minorEastAsia" w:hAnsiTheme="minorEastAsia" w:cs="宋体"/>
          <w:color w:val="3D3D3F"/>
          <w:kern w:val="0"/>
          <w:szCs w:val="21"/>
        </w:rPr>
        <w:t>-4</w:t>
      </w: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。</w:t>
      </w:r>
    </w:p>
    <w:p w:rsidR="0046312E" w:rsidRPr="003E04DF" w:rsidRDefault="0046312E" w:rsidP="0046312E">
      <w:pPr>
        <w:widowControl/>
        <w:spacing w:beforeLines="50" w:before="156" w:afterLines="50" w:after="156"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/>
          <w:color w:val="3D3D3F"/>
          <w:kern w:val="0"/>
          <w:szCs w:val="21"/>
        </w:rPr>
        <w:t>（二）公交站场方案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proofErr w:type="gramStart"/>
      <w:r w:rsidRPr="003E04DF">
        <w:rPr>
          <w:rFonts w:asciiTheme="minorEastAsia" w:hAnsiTheme="minorEastAsia" w:cs="宋体"/>
          <w:color w:val="3D3D3F"/>
          <w:kern w:val="0"/>
          <w:szCs w:val="21"/>
        </w:rPr>
        <w:t>至规划</w:t>
      </w:r>
      <w:proofErr w:type="gramEnd"/>
      <w:r w:rsidRPr="003E04DF">
        <w:rPr>
          <w:rFonts w:asciiTheme="minorEastAsia" w:hAnsiTheme="minorEastAsia" w:cs="宋体"/>
          <w:color w:val="3D3D3F"/>
          <w:kern w:val="0"/>
          <w:szCs w:val="21"/>
        </w:rPr>
        <w:t>期末，饶平县共规划公交枢纽站、首末站、综合车场及停保场130800平方米；其中规划公交枢纽站8个，共计115100平方米；含一级公交枢纽1个，共5000平方米，二级公交枢纽3个，共计53076平方米，三级公交枢纽4个，共计57100平方米。规划综合车场、停车场12个，新建车场结合公交枢纽建设。规划建设</w:t>
      </w:r>
      <w:proofErr w:type="gramStart"/>
      <w:r w:rsidRPr="003E04DF">
        <w:rPr>
          <w:rFonts w:asciiTheme="minorEastAsia" w:hAnsiTheme="minorEastAsia" w:cs="宋体"/>
          <w:color w:val="3D3D3F"/>
          <w:kern w:val="0"/>
          <w:szCs w:val="21"/>
        </w:rPr>
        <w:t>公交首</w:t>
      </w:r>
      <w:proofErr w:type="gramEnd"/>
      <w:r w:rsidRPr="003E04DF">
        <w:rPr>
          <w:rFonts w:asciiTheme="minorEastAsia" w:hAnsiTheme="minorEastAsia" w:cs="宋体"/>
          <w:color w:val="3D3D3F"/>
          <w:kern w:val="0"/>
          <w:szCs w:val="21"/>
        </w:rPr>
        <w:t>末站32个，共15700平方米；其中主城区</w:t>
      </w:r>
      <w:proofErr w:type="gramStart"/>
      <w:r w:rsidRPr="003E04DF">
        <w:rPr>
          <w:rFonts w:asciiTheme="minorEastAsia" w:hAnsiTheme="minorEastAsia" w:cs="宋体"/>
          <w:color w:val="3D3D3F"/>
          <w:kern w:val="0"/>
          <w:szCs w:val="21"/>
        </w:rPr>
        <w:t>公交首</w:t>
      </w:r>
      <w:proofErr w:type="gramEnd"/>
      <w:r w:rsidRPr="003E04DF">
        <w:rPr>
          <w:rFonts w:asciiTheme="minorEastAsia" w:hAnsiTheme="minorEastAsia" w:cs="宋体"/>
          <w:color w:val="3D3D3F"/>
          <w:kern w:val="0"/>
          <w:szCs w:val="21"/>
        </w:rPr>
        <w:t>末站8个，共计2700平方米，村镇</w:t>
      </w:r>
      <w:proofErr w:type="gramStart"/>
      <w:r w:rsidRPr="003E04DF">
        <w:rPr>
          <w:rFonts w:asciiTheme="minorEastAsia" w:hAnsiTheme="minorEastAsia" w:cs="宋体"/>
          <w:color w:val="3D3D3F"/>
          <w:kern w:val="0"/>
          <w:szCs w:val="21"/>
        </w:rPr>
        <w:t>公交首</w:t>
      </w:r>
      <w:proofErr w:type="gramEnd"/>
      <w:r w:rsidRPr="003E04DF">
        <w:rPr>
          <w:rFonts w:asciiTheme="minorEastAsia" w:hAnsiTheme="minorEastAsia" w:cs="宋体"/>
          <w:color w:val="3D3D3F"/>
          <w:kern w:val="0"/>
          <w:szCs w:val="21"/>
        </w:rPr>
        <w:t>末站24个，共计13000平方米。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公交场站规划方案详见附图</w:t>
      </w:r>
      <w:r w:rsidR="00536FBC" w:rsidRPr="003E04DF">
        <w:rPr>
          <w:rFonts w:asciiTheme="minorEastAsia" w:hAnsiTheme="minorEastAsia" w:cs="宋体" w:hint="eastAsia"/>
          <w:color w:val="3D3D3F"/>
          <w:kern w:val="0"/>
          <w:szCs w:val="21"/>
        </w:rPr>
        <w:t>5</w:t>
      </w:r>
      <w:r w:rsidR="00536FBC" w:rsidRPr="003E04DF">
        <w:rPr>
          <w:rFonts w:asciiTheme="minorEastAsia" w:hAnsiTheme="minorEastAsia" w:cs="宋体"/>
          <w:color w:val="3D3D3F"/>
          <w:kern w:val="0"/>
          <w:szCs w:val="21"/>
        </w:rPr>
        <w:t>-6</w:t>
      </w: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。</w:t>
      </w:r>
    </w:p>
    <w:p w:rsidR="0046312E" w:rsidRPr="0046312E" w:rsidRDefault="0046312E" w:rsidP="0046312E">
      <w:pPr>
        <w:widowControl/>
        <w:spacing w:beforeLines="50" w:before="156" w:afterLines="50" w:after="156" w:line="360" w:lineRule="auto"/>
        <w:ind w:firstLine="482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46312E">
        <w:rPr>
          <w:rFonts w:asciiTheme="minorEastAsia" w:hAnsiTheme="minorEastAsia" w:cs="宋体"/>
          <w:color w:val="000000" w:themeColor="text1"/>
          <w:kern w:val="0"/>
          <w:szCs w:val="21"/>
        </w:rPr>
        <w:t>（</w:t>
      </w:r>
      <w:r w:rsidRPr="0046312E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三</w:t>
      </w:r>
      <w:r w:rsidRPr="0046312E">
        <w:rPr>
          <w:rFonts w:asciiTheme="minorEastAsia" w:hAnsiTheme="minorEastAsia" w:cs="宋体"/>
          <w:color w:val="000000" w:themeColor="text1"/>
          <w:kern w:val="0"/>
          <w:szCs w:val="21"/>
        </w:rPr>
        <w:t>）充电设施方案</w:t>
      </w:r>
    </w:p>
    <w:p w:rsidR="0046312E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46312E">
        <w:rPr>
          <w:rFonts w:asciiTheme="minorEastAsia" w:hAnsiTheme="minorEastAsia" w:cs="宋体"/>
          <w:color w:val="000000" w:themeColor="text1"/>
          <w:kern w:val="0"/>
          <w:szCs w:val="21"/>
        </w:rPr>
        <w:t>至20</w:t>
      </w:r>
      <w:r w:rsidR="003E04DF">
        <w:rPr>
          <w:rFonts w:asciiTheme="minorEastAsia" w:hAnsiTheme="minorEastAsia" w:cs="宋体"/>
          <w:color w:val="000000" w:themeColor="text1"/>
          <w:kern w:val="0"/>
          <w:szCs w:val="21"/>
        </w:rPr>
        <w:t>22</w:t>
      </w:r>
      <w:r w:rsidRPr="0046312E">
        <w:rPr>
          <w:rFonts w:asciiTheme="minorEastAsia" w:hAnsiTheme="minorEastAsia" w:cs="宋体"/>
          <w:color w:val="000000" w:themeColor="text1"/>
          <w:kern w:val="0"/>
          <w:szCs w:val="21"/>
        </w:rPr>
        <w:t>年，饶平县规划新增4处公交车充电站，保留1处公交车充电站。交车充电站场地面积绝大部分依托于既有场站或规划综合车场、停车场及枢纽站。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公交充电设施方案详见附图</w:t>
      </w:r>
      <w:r w:rsidR="003E04DF" w:rsidRPr="003E04DF">
        <w:rPr>
          <w:rFonts w:asciiTheme="minorEastAsia" w:hAnsiTheme="minorEastAsia" w:cs="宋体"/>
          <w:color w:val="3D3D3F"/>
          <w:kern w:val="0"/>
          <w:szCs w:val="21"/>
        </w:rPr>
        <w:t>7</w:t>
      </w: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。</w:t>
      </w:r>
    </w:p>
    <w:p w:rsidR="0046312E" w:rsidRPr="003E04DF" w:rsidRDefault="0046312E" w:rsidP="0046312E">
      <w:pPr>
        <w:widowControl/>
        <w:spacing w:beforeLines="50" w:before="156" w:afterLines="50" w:after="156"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/>
          <w:color w:val="3D3D3F"/>
          <w:kern w:val="0"/>
          <w:szCs w:val="21"/>
        </w:rPr>
        <w:t>（</w:t>
      </w: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四</w:t>
      </w:r>
      <w:r w:rsidRPr="003E04DF">
        <w:rPr>
          <w:rFonts w:asciiTheme="minorEastAsia" w:hAnsiTheme="minorEastAsia" w:cs="宋体"/>
          <w:color w:val="3D3D3F"/>
          <w:kern w:val="0"/>
          <w:szCs w:val="21"/>
        </w:rPr>
        <w:t>）中途停靠站方案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/>
          <w:color w:val="3D3D3F"/>
          <w:kern w:val="0"/>
          <w:szCs w:val="21"/>
        </w:rPr>
        <w:t>至2022年，主城区300米覆盖率不低于50%，500米覆盖率达到80%；至2035年，主城区300米覆盖率不低于</w:t>
      </w: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7</w:t>
      </w:r>
      <w:r w:rsidRPr="003E04DF">
        <w:rPr>
          <w:rFonts w:asciiTheme="minorEastAsia" w:hAnsiTheme="minorEastAsia" w:cs="宋体"/>
          <w:color w:val="3D3D3F"/>
          <w:kern w:val="0"/>
          <w:szCs w:val="21"/>
        </w:rPr>
        <w:t>0%，500米覆盖率达到90%。</w:t>
      </w:r>
      <w:proofErr w:type="gramStart"/>
      <w:r w:rsidRPr="003E04DF">
        <w:rPr>
          <w:rFonts w:asciiTheme="minorEastAsia" w:hAnsiTheme="minorEastAsia" w:cs="宋体"/>
          <w:color w:val="3D3D3F"/>
          <w:kern w:val="0"/>
          <w:szCs w:val="21"/>
        </w:rPr>
        <w:t>至规划</w:t>
      </w:r>
      <w:proofErr w:type="gramEnd"/>
      <w:r w:rsidRPr="003E04DF">
        <w:rPr>
          <w:rFonts w:asciiTheme="minorEastAsia" w:hAnsiTheme="minorEastAsia" w:cs="宋体"/>
          <w:color w:val="3D3D3F"/>
          <w:kern w:val="0"/>
          <w:szCs w:val="21"/>
        </w:rPr>
        <w:t>末期，主城区共规划中途停靠站98个，其中近期规划公交中途停靠站45个，中远期规划中途停靠站53个。</w:t>
      </w:r>
    </w:p>
    <w:p w:rsidR="0046312E" w:rsidRPr="003E04DF" w:rsidRDefault="0046312E" w:rsidP="0046312E">
      <w:pPr>
        <w:widowControl/>
        <w:spacing w:line="360" w:lineRule="auto"/>
        <w:ind w:firstLine="482"/>
        <w:jc w:val="left"/>
        <w:rPr>
          <w:rFonts w:asciiTheme="minorEastAsia" w:hAnsiTheme="minorEastAsia" w:cs="宋体"/>
          <w:color w:val="3D3D3F"/>
          <w:kern w:val="0"/>
          <w:szCs w:val="21"/>
        </w:rPr>
      </w:pP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中途停靠站规划方案详见附图</w:t>
      </w:r>
      <w:r w:rsidR="003E04DF" w:rsidRPr="003E04DF">
        <w:rPr>
          <w:rFonts w:asciiTheme="minorEastAsia" w:hAnsiTheme="minorEastAsia" w:cs="宋体" w:hint="eastAsia"/>
          <w:color w:val="3D3D3F"/>
          <w:kern w:val="0"/>
          <w:szCs w:val="21"/>
        </w:rPr>
        <w:t>8</w:t>
      </w:r>
      <w:r w:rsidR="003E04DF" w:rsidRPr="003E04DF">
        <w:rPr>
          <w:rFonts w:asciiTheme="minorEastAsia" w:hAnsiTheme="minorEastAsia" w:cs="宋体"/>
          <w:color w:val="3D3D3F"/>
          <w:kern w:val="0"/>
          <w:szCs w:val="21"/>
        </w:rPr>
        <w:t>-9</w:t>
      </w:r>
      <w:r w:rsidRPr="003E04DF">
        <w:rPr>
          <w:rFonts w:asciiTheme="minorEastAsia" w:hAnsiTheme="minorEastAsia" w:cs="宋体" w:hint="eastAsia"/>
          <w:color w:val="3D3D3F"/>
          <w:kern w:val="0"/>
          <w:szCs w:val="21"/>
        </w:rPr>
        <w:t>。</w:t>
      </w:r>
    </w:p>
    <w:sectPr w:rsidR="0046312E" w:rsidRPr="003E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7C7" w:rsidRDefault="005917C7" w:rsidP="00A078B3">
      <w:r>
        <w:separator/>
      </w:r>
    </w:p>
  </w:endnote>
  <w:endnote w:type="continuationSeparator" w:id="0">
    <w:p w:rsidR="005917C7" w:rsidRDefault="005917C7" w:rsidP="00A0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7C7" w:rsidRDefault="005917C7" w:rsidP="00A078B3">
      <w:r>
        <w:separator/>
      </w:r>
    </w:p>
  </w:footnote>
  <w:footnote w:type="continuationSeparator" w:id="0">
    <w:p w:rsidR="005917C7" w:rsidRDefault="005917C7" w:rsidP="00A0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8"/>
    <w:multiLevelType w:val="hybridMultilevel"/>
    <w:tmpl w:val="8412117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DC97CE9"/>
    <w:multiLevelType w:val="hybridMultilevel"/>
    <w:tmpl w:val="64AC9B58"/>
    <w:lvl w:ilvl="0" w:tplc="564AB68A">
      <w:start w:val="3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655B7C"/>
    <w:multiLevelType w:val="hybridMultilevel"/>
    <w:tmpl w:val="C1F8CCD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EB30F44"/>
    <w:multiLevelType w:val="hybridMultilevel"/>
    <w:tmpl w:val="B76C2DA2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5B2D2A0D"/>
    <w:multiLevelType w:val="hybridMultilevel"/>
    <w:tmpl w:val="113C9B1E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6AA1609B"/>
    <w:multiLevelType w:val="hybridMultilevel"/>
    <w:tmpl w:val="A7BC589A"/>
    <w:lvl w:ilvl="0" w:tplc="0409000D">
      <w:start w:val="1"/>
      <w:numFmt w:val="bullet"/>
      <w:lvlText w:val="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71646CA9"/>
    <w:multiLevelType w:val="hybridMultilevel"/>
    <w:tmpl w:val="4EBAAB38"/>
    <w:lvl w:ilvl="0" w:tplc="B9AEC2F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7B93B76"/>
    <w:multiLevelType w:val="hybridMultilevel"/>
    <w:tmpl w:val="0BD43724"/>
    <w:lvl w:ilvl="0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D38"/>
    <w:rsid w:val="0009536D"/>
    <w:rsid w:val="000B675E"/>
    <w:rsid w:val="000C32D6"/>
    <w:rsid w:val="001A1290"/>
    <w:rsid w:val="001B4A93"/>
    <w:rsid w:val="001C7012"/>
    <w:rsid w:val="00206E70"/>
    <w:rsid w:val="00251932"/>
    <w:rsid w:val="00271162"/>
    <w:rsid w:val="002A40CB"/>
    <w:rsid w:val="002F7324"/>
    <w:rsid w:val="00312D55"/>
    <w:rsid w:val="0037772B"/>
    <w:rsid w:val="003E04DF"/>
    <w:rsid w:val="00453E3B"/>
    <w:rsid w:val="004545E7"/>
    <w:rsid w:val="0046312E"/>
    <w:rsid w:val="004F0DCE"/>
    <w:rsid w:val="00536FBC"/>
    <w:rsid w:val="005917C7"/>
    <w:rsid w:val="006E0CBE"/>
    <w:rsid w:val="00707158"/>
    <w:rsid w:val="00743A88"/>
    <w:rsid w:val="0076652C"/>
    <w:rsid w:val="00790C62"/>
    <w:rsid w:val="007A1D3C"/>
    <w:rsid w:val="007D0AA8"/>
    <w:rsid w:val="008275B5"/>
    <w:rsid w:val="00894E2E"/>
    <w:rsid w:val="0090128D"/>
    <w:rsid w:val="00913027"/>
    <w:rsid w:val="00931647"/>
    <w:rsid w:val="0093202E"/>
    <w:rsid w:val="009F72CC"/>
    <w:rsid w:val="00A078B3"/>
    <w:rsid w:val="00A1380A"/>
    <w:rsid w:val="00A24B30"/>
    <w:rsid w:val="00A75C0F"/>
    <w:rsid w:val="00A81F92"/>
    <w:rsid w:val="00AC0EBC"/>
    <w:rsid w:val="00AD433D"/>
    <w:rsid w:val="00B03054"/>
    <w:rsid w:val="00B06159"/>
    <w:rsid w:val="00B0787A"/>
    <w:rsid w:val="00B10C83"/>
    <w:rsid w:val="00C92AAB"/>
    <w:rsid w:val="00CC0F5E"/>
    <w:rsid w:val="00D64A7D"/>
    <w:rsid w:val="00DB1B53"/>
    <w:rsid w:val="00DC386B"/>
    <w:rsid w:val="00DE76EA"/>
    <w:rsid w:val="00E03D38"/>
    <w:rsid w:val="00E146C1"/>
    <w:rsid w:val="00E16FED"/>
    <w:rsid w:val="00EE60DE"/>
    <w:rsid w:val="00EF3286"/>
    <w:rsid w:val="00F10F53"/>
    <w:rsid w:val="00F31501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BFE90"/>
  <w15:docId w15:val="{3B50A2EC-DA46-4A9B-8106-1E7DA08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8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8B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078B3"/>
    <w:rPr>
      <w:strike w:val="0"/>
      <w:dstrike w:val="0"/>
      <w:color w:val="000000"/>
      <w:u w:val="none"/>
      <w:effect w:val="none"/>
    </w:rPr>
  </w:style>
  <w:style w:type="character" w:styleId="a8">
    <w:name w:val="Strong"/>
    <w:basedOn w:val="a0"/>
    <w:uiPriority w:val="22"/>
    <w:qFormat/>
    <w:rsid w:val="00A078B3"/>
    <w:rPr>
      <w:b/>
      <w:bCs/>
    </w:rPr>
  </w:style>
  <w:style w:type="paragraph" w:styleId="a9">
    <w:name w:val="List Paragraph"/>
    <w:basedOn w:val="a"/>
    <w:link w:val="aa"/>
    <w:uiPriority w:val="34"/>
    <w:qFormat/>
    <w:rsid w:val="00AC0EBC"/>
    <w:pPr>
      <w:ind w:firstLineChars="200" w:firstLine="420"/>
    </w:pPr>
    <w:rPr>
      <w:rFonts w:ascii="Times New Roman" w:eastAsia="仿宋_GB2312" w:hAnsi="Times New Roman"/>
      <w:sz w:val="28"/>
    </w:rPr>
  </w:style>
  <w:style w:type="character" w:customStyle="1" w:styleId="aa">
    <w:name w:val="列表段落 字符"/>
    <w:link w:val="a9"/>
    <w:uiPriority w:val="34"/>
    <w:qFormat/>
    <w:rsid w:val="00AC0EBC"/>
    <w:rPr>
      <w:rFonts w:ascii="Times New Roman" w:eastAsia="仿宋_GB2312" w:hAnsi="Times New Roman"/>
      <w:sz w:val="28"/>
    </w:rPr>
  </w:style>
  <w:style w:type="paragraph" w:customStyle="1" w:styleId="2">
    <w:name w:val="！正文格式 + 首行缩进:  2 字符"/>
    <w:basedOn w:val="a"/>
    <w:qFormat/>
    <w:rsid w:val="00931647"/>
    <w:pPr>
      <w:ind w:firstLineChars="200" w:firstLine="549"/>
    </w:pPr>
    <w:rPr>
      <w:rFonts w:ascii="宋体" w:eastAsia="宋体" w:hAnsi="宋体" w:cs="宋体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932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0CB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E0CBE"/>
    <w:rPr>
      <w:sz w:val="18"/>
      <w:szCs w:val="18"/>
    </w:rPr>
  </w:style>
  <w:style w:type="paragraph" w:customStyle="1" w:styleId="ae">
    <w:name w:val="表格"/>
    <w:basedOn w:val="a"/>
    <w:link w:val="Char"/>
    <w:qFormat/>
    <w:rsid w:val="0046312E"/>
    <w:pPr>
      <w:spacing w:beforeLines="50" w:before="157"/>
      <w:jc w:val="center"/>
    </w:pPr>
    <w:rPr>
      <w:rFonts w:ascii="黑体" w:eastAsia="黑体" w:hAnsi="黑体" w:cs="Times New Roman"/>
      <w:szCs w:val="21"/>
    </w:rPr>
  </w:style>
  <w:style w:type="character" w:customStyle="1" w:styleId="Char">
    <w:name w:val="表格 Char"/>
    <w:link w:val="ae"/>
    <w:qFormat/>
    <w:rsid w:val="0046312E"/>
    <w:rPr>
      <w:rFonts w:ascii="黑体" w:eastAsia="黑体" w:hAnsi="黑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04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xbkin-PC</cp:lastModifiedBy>
  <cp:revision>40</cp:revision>
  <dcterms:created xsi:type="dcterms:W3CDTF">2018-05-23T02:07:00Z</dcterms:created>
  <dcterms:modified xsi:type="dcterms:W3CDTF">2019-11-28T01:51:00Z</dcterms:modified>
</cp:coreProperties>
</file>