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bookmarkStart w:id="0" w:name="_GoBack"/>
      <w:bookmarkEnd w:id="0"/>
      <w:r>
        <w:rPr>
          <w:sz w:val="44"/>
        </w:rP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77470</wp:posOffset>
                </wp:positionV>
                <wp:extent cx="1000125" cy="438150"/>
                <wp:effectExtent l="0" t="0" r="5715" b="3810"/>
                <wp:wrapNone/>
                <wp:docPr id="1" name="文本框 1"/>
                <wp:cNvGraphicFramePr/>
                <a:graphic xmlns:a="http://schemas.openxmlformats.org/drawingml/2006/main">
                  <a:graphicData uri="http://schemas.microsoft.com/office/word/2010/wordprocessingShape">
                    <wps:wsp>
                      <wps:cNvSpPr txBox="1"/>
                      <wps:spPr>
                        <a:xfrm>
                          <a:off x="1312545" y="391795"/>
                          <a:ext cx="1000125"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6.1pt;height:34.5pt;width:78.75pt;z-index:251658240;mso-width-relative:page;mso-height-relative:page;" fillcolor="#FFFFFF [3201]" filled="t" stroked="f" coordsize="21600,21600" o:gfxdata="UEsDBAoAAAAAAIdO4kAAAAAAAAAAAAAAAAAEAAAAZHJzL1BLAwQUAAAACACHTuJAnwnTstMAAAAI&#10;AQAADwAAAGRycy9kb3ducmV2LnhtbE2PS0/DMBCE70j8B2uRuFEnFo8oxOkBiSsSbenZjZc4wl5H&#10;tvv89WxPcFrtzmj2m255Cl4cMOUpkoZ6UYFAGqKdaNSwWb8/NCByMWSNj4Qazphh2d/edKa18Uif&#10;eFiVUXAI5dZocKXMrZR5cBhMXsQZibXvmIIpvKZR2mSOHB68VFX1LIOZiD84M+Obw+FntQ8atmO4&#10;bL/qOTkb/CN9XM7rTZy0vr+rq1cQBU/lzwxXfEaHnpl2cU82C69BNYqdfFc8r3rz9AJip6GpFci+&#10;k/8L9L9QSwMEFAAAAAgAh07iQI4NRVw+AgAATAQAAA4AAABkcnMvZTJvRG9jLnhtbK1UzY7aMBC+&#10;V+o7WL6XJPzsLoiwoqyoKqHuSrTq2Tg2ieR4XNuQ0Ado32BPvfTe5+I5OnZgl/6cqnIwM57P8/PN&#10;TKa3ba3IXlhXgc5p1kspEZpDUeltTj+8X766ocR5pgumQIucHoSjt7OXL6aNmYg+lKAKYQk60W7S&#10;mJyW3ptJkjheipq5Hhih0SjB1syjardJYVmD3muV9NP0KmnAFsYCF87h7V1npLPoX0rB/b2UTnii&#10;coq5+XjaeG7CmcymbLK1zJQVP6XB/iGLmlUagz65umOekZ2t/nBVV9yCA+l7HOoEpKy4iDVgNVn6&#10;WzXrkhkRa0FynHmiyf0/t/zd/sGSqsDeUaJZjS06Pn49fvtx/P6FZIGexrgJotYGcb59DW2Anu4d&#10;XoaqW2nr8I/1kGAfZP3RcETJIaeDcXY9HnU8i9YTHuxpmiKCEo6A4eAmG8VGJM+OjHX+jYCaBCGn&#10;FvsY6WX7lfMYHKFnSIjrQFXFslIqKna7WShL9gx7voy/EB6f/AJTmjQ5vRpg7PBKQ3jf4ZRGeKi7&#10;qy9Ivt20p6I3UByQCwvdMDnDlxVmuWLOPzCL04Nzhhvh7/GQCjAInCRKSrCf/3Yf8NhUtFLS4DTm&#10;1H3aMSsoUW81tnucDYdhfKMyHF33UbGXls2lRe/qBWDx2FLMLooB79VZlBbqj7g48xAVTUxzjJ1T&#10;fxYXvtsRXDwu5vMIwoE1zK/02vDguiNtvvMgq9iSQFPHzYk9HNlI+2m9wk5c6hH1/BGY/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CdOy0wAAAAgBAAAPAAAAAAAAAAEAIAAAACIAAABkcnMvZG93&#10;bnJldi54bWxQSwECFAAUAAAACACHTuJAjg1FXD4CAABMBAAADgAAAAAAAAABACAAAAAiAQAAZHJz&#10;L2Uyb0RvYy54bWxQSwUGAAAAAAYABgBZAQAA0gUAAAAA&#10;">
                <v:fill on="t" focussize="0,0"/>
                <v:stroke on="f" weight="0.5pt"/>
                <v:imagedata o:title=""/>
                <o:lock v:ext="edit" aspectratio="f"/>
                <v:textbox>
                  <w:txbxContent>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 3</w:t>
                      </w:r>
                    </w:p>
                  </w:txbxContent>
                </v:textbox>
              </v:shape>
            </w:pict>
          </mc:Fallback>
        </mc:AlternateConten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第二批下放执法事项减免责清单（林业）</w:t>
      </w:r>
    </w:p>
    <w:p>
      <w:pPr>
        <w:spacing w:line="24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从轻处罚清单</w:t>
      </w:r>
    </w:p>
    <w:tbl>
      <w:tblPr>
        <w:tblStyle w:val="3"/>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47"/>
        <w:gridCol w:w="999"/>
        <w:gridCol w:w="6177"/>
        <w:gridCol w:w="2453"/>
        <w:gridCol w:w="1275"/>
        <w:gridCol w:w="1050"/>
        <w:gridCol w:w="1285"/>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序</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号</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事项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名称</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基本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编码</w:t>
            </w:r>
          </w:p>
        </w:tc>
        <w:tc>
          <w:tcPr>
            <w:tcW w:w="617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设定依据</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适用情形</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从轻处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罚依据</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裁量幅</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度</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配套监管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措施</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楷体" w:hAnsi="楷体" w:eastAsia="楷体" w:cs="楷体"/>
                <w:b/>
                <w:bCs/>
                <w:sz w:val="28"/>
                <w:szCs w:val="28"/>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347"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对非法开垦、采石、采砂、采土或者其他活动造成林地毁坏行为的行政处罚</w:t>
            </w:r>
          </w:p>
        </w:tc>
        <w:tc>
          <w:tcPr>
            <w:tcW w:w="999" w:type="dxa"/>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440232012000</w:t>
            </w:r>
          </w:p>
        </w:tc>
        <w:tc>
          <w:tcPr>
            <w:tcW w:w="6177"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中华人民共和国森林法》第三十九条第一款：禁止毁林开垦、采石、采砂、采土以及其他毁坏林木和林地的行为。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2453"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配合林业主管部门查处，主动停止违法行为并在限期内按照《广东省被毁林地恢复植被、补种树木标准》恢复植被和林业生产条件且经验收符合标准的</w:t>
            </w:r>
          </w:p>
        </w:tc>
        <w:tc>
          <w:tcPr>
            <w:tcW w:w="1275"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《中华人</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民共和国</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行政处罚</w:t>
            </w:r>
          </w:p>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法》第三十二条</w:t>
            </w:r>
          </w:p>
        </w:tc>
        <w:tc>
          <w:tcPr>
            <w:tcW w:w="1050"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可以处恢复植被和林业生产条件所需费用一倍以下的罚款</w:t>
            </w:r>
          </w:p>
        </w:tc>
        <w:tc>
          <w:tcPr>
            <w:tcW w:w="1285"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加强教育并及时验收恢复植被和林业生产条件情况</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楷体" w:hAnsi="楷体" w:eastAsia="楷体" w:cs="楷体"/>
                <w:b/>
                <w:bCs/>
                <w:sz w:val="28"/>
                <w:szCs w:val="28"/>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347"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对擅自改变林地用途行为的行政处罚</w:t>
            </w:r>
          </w:p>
        </w:tc>
        <w:tc>
          <w:tcPr>
            <w:tcW w:w="999" w:type="dxa"/>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440232014000</w:t>
            </w:r>
          </w:p>
        </w:tc>
        <w:tc>
          <w:tcPr>
            <w:tcW w:w="6177"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中华人民共和国森林法》第三十六条：国家保护林地，严格控制林地转为非林地，实行占用林地总量控制，确保林地保有量不减少。各类建设项目占用林地不得超过本行政区域的占用林地总量控制指标。第三十七条第一款：矿藏勘查、开采以及其他各类工程建设，应当不占或者少占林地;确需占用林地的，应当经县级以上人民政府林业主管部门审核同意，依法办理建设用地审批手续。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453"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配合林业主管部门查处，主动停止违法行为并在限期内按照《广东省被毁林地恢复植被、补种树木标准》恢复植被和林业生产条件且经验收符合标准的</w:t>
            </w:r>
          </w:p>
        </w:tc>
        <w:tc>
          <w:tcPr>
            <w:tcW w:w="1275"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《中华人</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民共和国</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行政处罚</w:t>
            </w:r>
          </w:p>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法》第三十二条</w:t>
            </w:r>
          </w:p>
        </w:tc>
        <w:tc>
          <w:tcPr>
            <w:tcW w:w="1050"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可以处恢复植被和林业生产条件所需费用一倍以下的罚款</w:t>
            </w:r>
          </w:p>
        </w:tc>
        <w:tc>
          <w:tcPr>
            <w:tcW w:w="1285"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加强教育并及时验收恢复植被和林业生产条件</w:t>
            </w:r>
          </w:p>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情况</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楷体" w:hAnsi="楷体" w:eastAsia="楷体" w:cs="楷体"/>
                <w:b/>
                <w:bCs/>
                <w:sz w:val="28"/>
                <w:szCs w:val="28"/>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347"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对在临时使 用的林地上修建永久性建筑物行为 的行政处罚</w:t>
            </w:r>
          </w:p>
        </w:tc>
        <w:tc>
          <w:tcPr>
            <w:tcW w:w="999" w:type="dxa"/>
            <w:vAlign w:val="center"/>
          </w:tcPr>
          <w:p>
            <w:pPr>
              <w:keepNext w:val="0"/>
              <w:keepLines w:val="0"/>
              <w:widowControl/>
              <w:suppressLineNumbers w:val="0"/>
              <w:jc w:val="left"/>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440212010000</w:t>
            </w:r>
          </w:p>
        </w:tc>
        <w:tc>
          <w:tcPr>
            <w:tcW w:w="6177"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中华人民共和国森林法》第三十八条第一款：需要临时使用林地的，应当经县级以上人民政府林业主管部门批准;临时使用林地的期限一般不超过二年，并不得在临时使用的林地上修建永久性建筑物。第七十三条第三款：在临时使用的林地上修建永久性建筑物，或者临时使用林地期满后一年内未恢复植被或者林业生产条件的，依照本条第一款规定处罚。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453"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配合林业主管部门查处，主动停止违法行为并在限期内按照《广东省被毁林地恢复植被、补种树木标准》恢复植被和林业生产条件且经验收符合标准的</w:t>
            </w:r>
          </w:p>
        </w:tc>
        <w:tc>
          <w:tcPr>
            <w:tcW w:w="1275"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《中华人</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民共和国</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行政处罚</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法行政处</w:t>
            </w:r>
          </w:p>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罚法》第三十二条</w:t>
            </w:r>
          </w:p>
        </w:tc>
        <w:tc>
          <w:tcPr>
            <w:tcW w:w="1050"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可以处恢复植被和林业生产条件所需费用一倍以下的罚款</w:t>
            </w:r>
          </w:p>
        </w:tc>
        <w:tc>
          <w:tcPr>
            <w:tcW w:w="1285"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加强教育并及时验收恢复植被和林业生产条件情况</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bl>
    <w:p>
      <w:pPr>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both"/>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减轻处罚清单</w:t>
      </w:r>
    </w:p>
    <w:tbl>
      <w:tblPr>
        <w:tblStyle w:val="3"/>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47"/>
        <w:gridCol w:w="958"/>
        <w:gridCol w:w="6218"/>
        <w:gridCol w:w="2453"/>
        <w:gridCol w:w="1216"/>
        <w:gridCol w:w="1094"/>
        <w:gridCol w:w="130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序</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号</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事项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名称</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基本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编码</w:t>
            </w:r>
          </w:p>
        </w:tc>
        <w:tc>
          <w:tcPr>
            <w:tcW w:w="621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设定依据</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适用情形</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从轻处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罚依据</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裁量幅</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度</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配套监管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措施</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347"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对盗伐林木行为的行政处罚</w:t>
            </w:r>
          </w:p>
        </w:tc>
        <w:tc>
          <w:tcPr>
            <w:tcW w:w="958" w:type="dxa"/>
            <w:vAlign w:val="center"/>
          </w:tcPr>
          <w:p>
            <w:pPr>
              <w:keepNext w:val="0"/>
              <w:keepLines w:val="0"/>
              <w:widowControl/>
              <w:suppressLineNumbers w:val="0"/>
              <w:jc w:val="left"/>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440232006000</w:t>
            </w:r>
          </w:p>
        </w:tc>
        <w:tc>
          <w:tcPr>
            <w:tcW w:w="6218"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第七十六条第一款：盗伐林木的，由县级以上人民政府林业主管部门责令限期在原地或者异地补种盗伐株数一倍以上五倍以下的树木，并处盗伐林木价值五倍以上十倍以下的罚款。</w:t>
            </w:r>
          </w:p>
        </w:tc>
        <w:tc>
          <w:tcPr>
            <w:tcW w:w="2453"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主动赔偿受害人经济</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损失，配合林业主管</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部门查处，并且主动</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在限期内按照《广东</w:t>
            </w:r>
          </w:p>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省被毁林地恢复植被、补种树木标准》在原地或异地补种盗伐株数 1 倍以上树木、经验收符合标准的</w:t>
            </w:r>
          </w:p>
        </w:tc>
        <w:tc>
          <w:tcPr>
            <w:tcW w:w="1216"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《中华人民共和国行政处罚法》第三十二条</w:t>
            </w:r>
          </w:p>
        </w:tc>
        <w:tc>
          <w:tcPr>
            <w:tcW w:w="1094"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处盗伐林木价值五倍以下的罚款</w:t>
            </w:r>
          </w:p>
        </w:tc>
        <w:tc>
          <w:tcPr>
            <w:tcW w:w="1300"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加强教育，</w:t>
            </w:r>
          </w:p>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并及时复查</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347"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对滥伐林木行为的行政处罚</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440232007000</w:t>
            </w:r>
          </w:p>
        </w:tc>
        <w:tc>
          <w:tcPr>
            <w:tcW w:w="6218"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森林法》第二十二条第四款：在林木、林地权属争议解决前，除因森林防火、林业有害生物防治、国家重大基础设施建设等需要外，当事人任何一方不得砍伐有争议的林木或者改变林地现状。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八条：申请采伐许可证，应当提交有关采伐的地点、林种、树种、面积、蓄积、方式、更新措施和林木权属等内容的材料。超过省级以上人民政府林业主管部门规定面积或者蓄积量的，还应当提交伐区调查设计材料。第七十六条第二款：滥伐林木的，由县级以上人民政府林业主管部门责令限期在原地或者异地补种滥伐株数一倍以上三倍以下的树木，可以处滥伐林木价值三倍以上五倍以下的罚款。</w:t>
            </w:r>
          </w:p>
        </w:tc>
        <w:tc>
          <w:tcPr>
            <w:tcW w:w="2453"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配合林业主管部门查</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处，并且主动在限期</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内按照《广东省被毁</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林地恢复植被、补种</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树木标准》在原地或</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异地补种滥伐株数 1</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倍以上树木、经验收</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符合标准的</w:t>
            </w:r>
          </w:p>
        </w:tc>
        <w:tc>
          <w:tcPr>
            <w:tcW w:w="1216"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《中华人民共和国行政处罚法》第三十二条</w:t>
            </w:r>
          </w:p>
        </w:tc>
        <w:tc>
          <w:tcPr>
            <w:tcW w:w="1094"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可以处滥伐林木价值三倍以下的罚款</w:t>
            </w:r>
          </w:p>
        </w:tc>
        <w:tc>
          <w:tcPr>
            <w:tcW w:w="1300"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加强教育，</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并及时复查</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347"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对擅自进入森林高火险区活动行为的行政处罚</w:t>
            </w:r>
          </w:p>
        </w:tc>
        <w:tc>
          <w:tcPr>
            <w:tcW w:w="958" w:type="dxa"/>
            <w:vAlign w:val="center"/>
          </w:tcPr>
          <w:p>
            <w:pPr>
              <w:keepNext w:val="0"/>
              <w:keepLines w:val="0"/>
              <w:widowControl/>
              <w:suppressLineNumbers w:val="0"/>
              <w:jc w:val="left"/>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440232086000</w:t>
            </w:r>
          </w:p>
        </w:tc>
        <w:tc>
          <w:tcPr>
            <w:tcW w:w="6218"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《森林防火条例》第五十二条第三项：违反本条例规定，有下列行为之一的，由县级以上地方人民政府林业主管部门责令改正，给予警告，对个人并处 200 元以上 2000 元以下罚款，对单位并处 2000 元以上 5000元以下罚款：（三）森林高火险期内，未经批准擅自进入森林高火险区活动的。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453"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配合检查，主动退出</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森林高火险区并消除</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隐患的</w:t>
            </w:r>
          </w:p>
        </w:tc>
        <w:tc>
          <w:tcPr>
            <w:tcW w:w="1216"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《中华人民共和国行政处罚法》第三十二条</w:t>
            </w:r>
          </w:p>
        </w:tc>
        <w:tc>
          <w:tcPr>
            <w:tcW w:w="1094"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给予警告，对个人并处 200元以下罚款，对单位并处 2000 元以下罚款</w:t>
            </w:r>
          </w:p>
        </w:tc>
        <w:tc>
          <w:tcPr>
            <w:tcW w:w="1300"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加强教育、</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告知办理审批手续，加强日常巡查</w:t>
            </w:r>
          </w:p>
        </w:tc>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bl>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p>
    <w:p>
      <w:pPr>
        <w:spacing w:line="24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免处罚清单</w:t>
      </w:r>
    </w:p>
    <w:tbl>
      <w:tblPr>
        <w:tblStyle w:val="3"/>
        <w:tblW w:w="15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04"/>
        <w:gridCol w:w="953"/>
        <w:gridCol w:w="6473"/>
        <w:gridCol w:w="2931"/>
        <w:gridCol w:w="1535"/>
        <w:gridCol w:w="1242"/>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49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序</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号</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事项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名称</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基本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编码</w:t>
            </w:r>
          </w:p>
        </w:tc>
        <w:tc>
          <w:tcPr>
            <w:tcW w:w="647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设定依据</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适用情形</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从轻处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罚依据</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配套监管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措施</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r>
              <w:rPr>
                <w:rFonts w:hint="eastAsia" w:ascii="楷体" w:hAnsi="楷体" w:eastAsia="楷体" w:cs="楷体"/>
                <w:b/>
                <w:bCs/>
                <w:sz w:val="28"/>
                <w:szCs w:val="28"/>
                <w:vertAlign w:val="baseli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497"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304"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对非法开垦、采石、采砂、采土或者其他活动造成林地毁坏行为的行政处罚</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440232012000</w:t>
            </w:r>
          </w:p>
        </w:tc>
        <w:tc>
          <w:tcPr>
            <w:tcW w:w="6473"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中华人民共和国森林法》第三十九条第一款：禁止毁林开垦、采石、采砂、采土以及其他毁坏林木和林地的行为。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2931"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初次违法、危害后果轻微并主动按照《广东省被毁林地恢复植被、补种树木标准》恢复植被和林业生产条件且经验收符合标准的</w:t>
            </w:r>
          </w:p>
        </w:tc>
        <w:tc>
          <w:tcPr>
            <w:tcW w:w="1535" w:type="dxa"/>
            <w:vAlign w:val="center"/>
          </w:tcPr>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《中华人民共和国行政处罚法行政处罚法》第三十三条</w:t>
            </w:r>
          </w:p>
        </w:tc>
        <w:tc>
          <w:tcPr>
            <w:tcW w:w="1242"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加强教育</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并及时复</w:t>
            </w:r>
          </w:p>
          <w:p>
            <w:pPr>
              <w:keepNext w:val="0"/>
              <w:keepLines w:val="0"/>
              <w:widowControl/>
              <w:suppressLineNumbers w:val="0"/>
              <w:jc w:val="both"/>
              <w:rPr>
                <w:rFonts w:hint="eastAsia" w:ascii="宋体" w:hAnsi="宋体" w:eastAsia="宋体" w:cs="宋体"/>
                <w:b/>
                <w:bCs/>
                <w:sz w:val="24"/>
                <w:szCs w:val="24"/>
                <w:vertAlign w:val="baseline"/>
              </w:rPr>
            </w:pPr>
            <w:r>
              <w:rPr>
                <w:rFonts w:hint="eastAsia" w:ascii="宋体" w:hAnsi="宋体" w:eastAsia="宋体" w:cs="宋体"/>
                <w:color w:val="000000"/>
                <w:kern w:val="0"/>
                <w:sz w:val="24"/>
                <w:szCs w:val="24"/>
                <w:lang w:val="en-US" w:eastAsia="zh-CN" w:bidi="ar"/>
              </w:rPr>
              <w:t>查</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497"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304"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对擅自改变林地用途行为的行政处罚</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440232014000</w:t>
            </w:r>
          </w:p>
        </w:tc>
        <w:tc>
          <w:tcPr>
            <w:tcW w:w="6473"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森林法》第三十六条：国家保护林地，严格控制林地转为非林地，实行占用林地总量控制，确保林地保有量不减少。各类建设项目占用林地不得超过本行政区域的占用林地总量控制指标。第三十七条第一款：矿藏勘查、开采以及其他各类工程建设，应当不占或者少占林地;确需占用林地的，应当经县级以上人民政府林业主管部门审核同意，依法办理建设用地审批手续。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931"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初次违法、危害后果轻微并主动按照《广东省被毁林地恢复植被、补种树木标准》恢复植被和林业生产条件且经验收符合标准的</w:t>
            </w:r>
          </w:p>
        </w:tc>
        <w:tc>
          <w:tcPr>
            <w:tcW w:w="1535"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《中华人民共和国行政处罚法行政处罚法》第三十三条</w:t>
            </w:r>
          </w:p>
        </w:tc>
        <w:tc>
          <w:tcPr>
            <w:tcW w:w="1242"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加强教育</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并及时复</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查</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497"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1304"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对在临时使用的林地上修建永久性建筑物行为的行政处罚 </w:t>
            </w:r>
          </w:p>
        </w:tc>
        <w:tc>
          <w:tcPr>
            <w:tcW w:w="953" w:type="dxa"/>
            <w:vAlign w:val="center"/>
          </w:tcPr>
          <w:p>
            <w:pPr>
              <w:keepNext w:val="0"/>
              <w:keepLines w:val="0"/>
              <w:widowControl/>
              <w:suppressLineNumbers w:val="0"/>
              <w:jc w:val="left"/>
              <w:rPr>
                <w:rFonts w:hint="eastAsia" w:ascii="宋体" w:hAnsi="宋体" w:eastAsia="宋体" w:cs="宋体"/>
                <w:b w:val="0"/>
                <w:bCs w:val="0"/>
                <w:sz w:val="24"/>
                <w:szCs w:val="24"/>
                <w:vertAlign w:val="baseline"/>
              </w:rPr>
            </w:pPr>
            <w:r>
              <w:rPr>
                <w:rFonts w:hint="eastAsia" w:ascii="宋体" w:hAnsi="宋体" w:eastAsia="宋体" w:cs="宋体"/>
                <w:b w:val="0"/>
                <w:bCs w:val="0"/>
                <w:color w:val="000000"/>
                <w:kern w:val="0"/>
                <w:sz w:val="24"/>
                <w:szCs w:val="24"/>
                <w:lang w:val="en-US" w:eastAsia="zh-CN" w:bidi="ar"/>
              </w:rPr>
              <w:t>440212010000</w:t>
            </w:r>
          </w:p>
        </w:tc>
        <w:tc>
          <w:tcPr>
            <w:tcW w:w="6473"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森林法》第三十八条第一款：需要临时使用林地的，应当经县级以上人民政府林业主管部门批准;临时使用林地的期限一般不超过二年，并不得在临时使用的林地上修建永久性建筑物。第七十三条第三款：在临时使用的林地上修建永久性建筑物，或者临时使用林地期满后一年内未恢复植被或者林业生产条件的，依照本条第一款规定处罚。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2931"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初次违法、危害后果轻微并经主动按照《广东省被毁林地恢复植被、补种树木标准》恢复植被和林业生产条件且经验收符合标准的</w:t>
            </w:r>
          </w:p>
        </w:tc>
        <w:tc>
          <w:tcPr>
            <w:tcW w:w="1535"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《中华人民共和国行政处罚法行政处罚法》第三十三条</w:t>
            </w:r>
          </w:p>
        </w:tc>
        <w:tc>
          <w:tcPr>
            <w:tcW w:w="1242"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加强教育</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并及时复</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查</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sz w:val="28"/>
                <w:szCs w:val="28"/>
                <w:vertAlign w:val="baseline"/>
              </w:rPr>
            </w:pPr>
          </w:p>
        </w:tc>
      </w:tr>
    </w:tbl>
    <w:p>
      <w:pPr>
        <w:jc w:val="center"/>
        <w:rPr>
          <w:rFonts w:hint="eastAsia" w:asciiTheme="minorEastAsia" w:hAnsiTheme="minorEastAsia" w:eastAsiaTheme="minorEastAsia" w:cstheme="minorEastAsia"/>
          <w:b/>
          <w:bCs/>
          <w:sz w:val="44"/>
          <w:szCs w:val="4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WU1NTE3MDg4OGZhMWM0MjMzYThiM2YyODE1YzAifQ=="/>
  </w:docVars>
  <w:rsids>
    <w:rsidRoot w:val="00000000"/>
    <w:rsid w:val="007021CD"/>
    <w:rsid w:val="5EDA1938"/>
    <w:rsid w:val="5F227739"/>
    <w:rsid w:val="649A55B0"/>
    <w:rsid w:val="72A52AFB"/>
    <w:rsid w:val="78E4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2023-11-09T07:58:00Z</dcterms:created>
  <dc:creator>Administrator</dc:creator>
  <cp:lastModifiedBy>jw01</cp:lastModifiedBy>
  <cp:lastPrinted>2023-11-09T09:17:00Z</cp:lastPrinted>
  <dcterms:modified xsi:type="dcterms:W3CDTF">2023-11-28T07:48:57Z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E677EBDD4A23465D8244C84C60D189DC_13</vt:lpwstr>
  </property>
</Properties>
</file>