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both"/>
        <w:outlineLvl w:val="9"/>
        <w:rPr>
          <w:rFonts w:hint="eastAsia" w:ascii="方正小标宋_GBK" w:hAnsi="方正小标宋_GBK" w:eastAsia="方正小标宋_GBK" w:cs="方正小标宋_GBK"/>
          <w:color w:val="000000"/>
        </w:rPr>
      </w:pPr>
    </w:p>
    <w:p>
      <w:pPr>
        <w:pStyle w:val="3"/>
        <w:ind w:firstLine="0" w:firstLineChars="0"/>
        <w:jc w:val="both"/>
        <w:outlineLvl w:val="9"/>
        <w:rPr>
          <w:rFonts w:hint="eastAsia" w:ascii="方正小标宋_GBK" w:hAnsi="方正小标宋_GBK" w:eastAsia="方正小标宋_GBK" w:cs="方正小标宋_GBK"/>
          <w:color w:val="000000"/>
          <w:lang w:val="en-US" w:eastAsia="zh-CN"/>
        </w:rPr>
      </w:pPr>
    </w:p>
    <w:p>
      <w:pPr>
        <w:pStyle w:val="3"/>
        <w:ind w:firstLine="0" w:firstLineChars="0"/>
        <w:jc w:val="both"/>
        <w:outlineLvl w:val="9"/>
        <w:rPr>
          <w:rFonts w:hint="eastAsia" w:ascii="方正小标宋_GBK" w:hAnsi="方正小标宋_GBK" w:eastAsia="方正小标宋_GBK" w:cs="方正小标宋_GBK"/>
          <w:color w:val="000000"/>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小标宋_GBK" w:hAnsi="方正小标宋_GBK" w:eastAsia="方正小标宋_GBK" w:cs="方正小标宋_GBK"/>
          <w:b w:val="0"/>
          <w:bCs w:val="0"/>
          <w:color w:val="000000"/>
          <w:sz w:val="48"/>
          <w:szCs w:val="48"/>
        </w:rPr>
      </w:pPr>
      <w:r>
        <w:rPr>
          <w:rFonts w:hint="eastAsia" w:ascii="方正小标宋_GBK" w:hAnsi="方正小标宋_GBK" w:eastAsia="方正小标宋_GBK" w:cs="方正小标宋_GBK"/>
          <w:b w:val="0"/>
          <w:bCs w:val="0"/>
          <w:color w:val="000000"/>
          <w:sz w:val="48"/>
          <w:szCs w:val="48"/>
          <w:lang w:val="en-US" w:eastAsia="zh-CN"/>
        </w:rPr>
        <w:t>饶平县</w:t>
      </w:r>
      <w:r>
        <w:rPr>
          <w:rFonts w:hint="eastAsia" w:ascii="方正小标宋_GBK" w:hAnsi="方正小标宋_GBK" w:eastAsia="方正小标宋_GBK" w:cs="方正小标宋_GBK"/>
          <w:b w:val="0"/>
          <w:bCs w:val="0"/>
          <w:color w:val="000000"/>
          <w:sz w:val="48"/>
          <w:szCs w:val="48"/>
        </w:rPr>
        <w:t>卫生健康事业发展</w:t>
      </w:r>
    </w:p>
    <w:p>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方正小标宋_GBK" w:hAnsi="方正小标宋_GBK" w:eastAsia="方正小标宋_GBK" w:cs="方正小标宋_GBK"/>
          <w:b w:val="0"/>
          <w:bCs w:val="0"/>
          <w:color w:val="000000"/>
          <w:sz w:val="48"/>
          <w:szCs w:val="48"/>
        </w:rPr>
      </w:pPr>
      <w:r>
        <w:rPr>
          <w:rFonts w:hint="eastAsia" w:ascii="方正小标宋_GBK" w:hAnsi="方正小标宋_GBK" w:eastAsia="方正小标宋_GBK" w:cs="方正小标宋_GBK"/>
          <w:b w:val="0"/>
          <w:bCs w:val="0"/>
          <w:color w:val="000000"/>
          <w:sz w:val="48"/>
          <w:szCs w:val="48"/>
          <w:lang w:eastAsia="zh-CN"/>
        </w:rPr>
        <w:t>“</w:t>
      </w:r>
      <w:r>
        <w:rPr>
          <w:rFonts w:hint="eastAsia" w:ascii="方正小标宋_GBK" w:hAnsi="方正小标宋_GBK" w:eastAsia="方正小标宋_GBK" w:cs="方正小标宋_GBK"/>
          <w:b w:val="0"/>
          <w:bCs w:val="0"/>
          <w:color w:val="000000"/>
          <w:sz w:val="48"/>
          <w:szCs w:val="48"/>
        </w:rPr>
        <w:t>十四五”规划</w:t>
      </w:r>
    </w:p>
    <w:p>
      <w:pPr>
        <w:pStyle w:val="3"/>
        <w:ind w:firstLine="0" w:firstLineChars="0"/>
        <w:jc w:val="center"/>
        <w:outlineLvl w:val="9"/>
        <w:rPr>
          <w:rFonts w:hint="eastAsia" w:ascii="方正楷体简体" w:hAnsi="方正楷体简体" w:eastAsia="方正楷体简体" w:cs="方正楷体简体"/>
          <w:b w:val="0"/>
          <w:bCs w:val="0"/>
          <w:color w:val="000000"/>
          <w:sz w:val="36"/>
          <w:szCs w:val="36"/>
        </w:rPr>
      </w:pPr>
      <w:r>
        <w:rPr>
          <w:rFonts w:hint="eastAsia" w:ascii="方正楷体简体" w:hAnsi="方正楷体简体" w:eastAsia="方正楷体简体" w:cs="方正楷体简体"/>
          <w:b w:val="0"/>
          <w:bCs w:val="0"/>
          <w:color w:val="000000"/>
          <w:sz w:val="36"/>
          <w:szCs w:val="36"/>
          <w:lang w:eastAsia="zh-CN"/>
        </w:rPr>
        <w:t>（</w:t>
      </w:r>
      <w:r>
        <w:rPr>
          <w:rFonts w:hint="eastAsia" w:ascii="方正楷体简体" w:hAnsi="方正楷体简体" w:eastAsia="方正楷体简体" w:cs="方正楷体简体"/>
          <w:b w:val="0"/>
          <w:bCs w:val="0"/>
          <w:color w:val="000000"/>
          <w:sz w:val="36"/>
          <w:szCs w:val="36"/>
          <w:lang w:val="en-US" w:eastAsia="zh-CN"/>
        </w:rPr>
        <w:t>征求意见</w:t>
      </w:r>
      <w:r>
        <w:rPr>
          <w:rFonts w:hint="eastAsia" w:ascii="方正楷体简体" w:hAnsi="方正楷体简体" w:eastAsia="方正楷体简体" w:cs="方正楷体简体"/>
          <w:b w:val="0"/>
          <w:bCs w:val="0"/>
          <w:color w:val="000000"/>
          <w:sz w:val="36"/>
          <w:szCs w:val="36"/>
        </w:rPr>
        <w:t>稿</w:t>
      </w:r>
      <w:r>
        <w:rPr>
          <w:rFonts w:hint="eastAsia" w:ascii="方正楷体简体" w:hAnsi="方正楷体简体" w:eastAsia="方正楷体简体" w:cs="方正楷体简体"/>
          <w:b w:val="0"/>
          <w:bCs w:val="0"/>
          <w:color w:val="000000"/>
          <w:sz w:val="36"/>
          <w:szCs w:val="36"/>
          <w:lang w:eastAsia="zh-CN"/>
        </w:rPr>
        <w:t>）</w:t>
      </w:r>
    </w:p>
    <w:p>
      <w:pPr>
        <w:pStyle w:val="3"/>
        <w:ind w:firstLine="0" w:firstLineChars="0"/>
        <w:jc w:val="both"/>
        <w:outlineLvl w:val="9"/>
        <w:rPr>
          <w:rFonts w:hint="eastAsia" w:ascii="方正小标宋_GBK" w:hAnsi="方正小标宋_GBK" w:eastAsia="方正小标宋_GBK" w:cs="方正小标宋_GBK"/>
          <w:color w:val="000000"/>
        </w:rPr>
      </w:pPr>
    </w:p>
    <w:p>
      <w:pPr>
        <w:pStyle w:val="3"/>
        <w:ind w:firstLine="0" w:firstLineChars="0"/>
        <w:jc w:val="both"/>
        <w:outlineLvl w:val="9"/>
        <w:rPr>
          <w:rFonts w:hint="eastAsia" w:ascii="方正小标宋_GBK" w:hAnsi="方正小标宋_GBK" w:eastAsia="方正小标宋_GBK" w:cs="方正小标宋_GBK"/>
          <w:color w:val="000000"/>
        </w:rPr>
      </w:pPr>
    </w:p>
    <w:p>
      <w:pPr>
        <w:pStyle w:val="3"/>
        <w:ind w:firstLine="0" w:firstLineChars="0"/>
        <w:jc w:val="both"/>
        <w:outlineLvl w:val="9"/>
        <w:rPr>
          <w:rFonts w:hint="eastAsia" w:ascii="方正小标宋_GBK" w:hAnsi="方正小标宋_GBK" w:eastAsia="方正小标宋_GBK" w:cs="方正小标宋_GBK"/>
          <w:color w:val="000000"/>
        </w:rPr>
      </w:pPr>
    </w:p>
    <w:p>
      <w:pPr>
        <w:pStyle w:val="3"/>
        <w:ind w:firstLine="0" w:firstLineChars="0"/>
        <w:jc w:val="both"/>
        <w:outlineLvl w:val="9"/>
        <w:rPr>
          <w:rFonts w:hint="eastAsia" w:ascii="方正小标宋_GBK" w:hAnsi="方正小标宋_GBK" w:eastAsia="方正小标宋_GBK" w:cs="方正小标宋_GBK"/>
          <w:color w:val="000000"/>
        </w:rPr>
      </w:pPr>
    </w:p>
    <w:p>
      <w:pPr>
        <w:rPr>
          <w:rFonts w:hint="eastAsia"/>
        </w:rPr>
      </w:pPr>
    </w:p>
    <w:p>
      <w:pPr>
        <w:pStyle w:val="3"/>
        <w:ind w:firstLine="0" w:firstLineChars="0"/>
        <w:jc w:val="center"/>
        <w:outlineLvl w:val="9"/>
        <w:rPr>
          <w:rFonts w:hint="eastAsia" w:ascii="方正楷体简体" w:hAnsi="方正楷体简体" w:eastAsia="方正楷体简体" w:cs="方正楷体简体"/>
          <w:b w:val="0"/>
          <w:bCs w:val="0"/>
          <w:color w:val="000000"/>
          <w:sz w:val="36"/>
          <w:szCs w:val="36"/>
        </w:rPr>
      </w:pPr>
      <w:r>
        <w:rPr>
          <w:rFonts w:hint="eastAsia" w:ascii="方正楷体简体" w:hAnsi="方正楷体简体" w:eastAsia="方正楷体简体" w:cs="方正楷体简体"/>
          <w:b w:val="0"/>
          <w:bCs w:val="0"/>
          <w:color w:val="000000"/>
          <w:sz w:val="36"/>
          <w:szCs w:val="36"/>
          <w:lang w:val="en-US" w:eastAsia="zh-CN"/>
        </w:rPr>
        <w:t>饶平县</w:t>
      </w:r>
      <w:r>
        <w:rPr>
          <w:rFonts w:hint="eastAsia" w:ascii="方正楷体简体" w:hAnsi="方正楷体简体" w:eastAsia="方正楷体简体" w:cs="方正楷体简体"/>
          <w:b w:val="0"/>
          <w:bCs w:val="0"/>
          <w:color w:val="000000"/>
          <w:sz w:val="36"/>
          <w:szCs w:val="36"/>
        </w:rPr>
        <w:t>卫生健康局</w:t>
      </w:r>
    </w:p>
    <w:p>
      <w:pPr>
        <w:pStyle w:val="3"/>
        <w:ind w:firstLine="0" w:firstLineChars="0"/>
        <w:jc w:val="center"/>
        <w:outlineLvl w:val="9"/>
        <w:rPr>
          <w:rFonts w:hint="eastAsia" w:ascii="方正楷体简体" w:hAnsi="方正楷体简体" w:eastAsia="方正楷体简体" w:cs="方正楷体简体"/>
          <w:b w:val="0"/>
          <w:bCs w:val="0"/>
          <w:color w:val="000000"/>
          <w:sz w:val="36"/>
          <w:szCs w:val="36"/>
        </w:rPr>
      </w:pPr>
      <w:r>
        <w:rPr>
          <w:rFonts w:hint="eastAsia" w:ascii="方正楷体简体" w:hAnsi="方正楷体简体" w:eastAsia="方正楷体简体" w:cs="方正楷体简体"/>
          <w:b w:val="0"/>
          <w:bCs w:val="0"/>
          <w:color w:val="000000"/>
          <w:sz w:val="36"/>
          <w:szCs w:val="36"/>
        </w:rPr>
        <w:t>202</w:t>
      </w:r>
      <w:r>
        <w:rPr>
          <w:rFonts w:hint="eastAsia" w:ascii="方正楷体简体" w:hAnsi="方正楷体简体" w:eastAsia="方正楷体简体" w:cs="方正楷体简体"/>
          <w:b w:val="0"/>
          <w:bCs w:val="0"/>
          <w:color w:val="000000"/>
          <w:sz w:val="36"/>
          <w:szCs w:val="36"/>
          <w:lang w:val="en-US" w:eastAsia="zh-CN"/>
        </w:rPr>
        <w:t>3</w:t>
      </w:r>
      <w:r>
        <w:rPr>
          <w:rFonts w:hint="eastAsia" w:ascii="方正楷体简体" w:hAnsi="方正楷体简体" w:eastAsia="方正楷体简体" w:cs="方正楷体简体"/>
          <w:b w:val="0"/>
          <w:bCs w:val="0"/>
          <w:color w:val="000000"/>
          <w:sz w:val="36"/>
          <w:szCs w:val="36"/>
        </w:rPr>
        <w:t>年</w:t>
      </w:r>
      <w:r>
        <w:rPr>
          <w:rFonts w:hint="eastAsia" w:ascii="方正楷体简体" w:hAnsi="方正楷体简体" w:eastAsia="方正楷体简体" w:cs="方正楷体简体"/>
          <w:b w:val="0"/>
          <w:bCs w:val="0"/>
          <w:color w:val="000000"/>
          <w:sz w:val="36"/>
          <w:szCs w:val="36"/>
          <w:lang w:val="en-US" w:eastAsia="zh-CN"/>
        </w:rPr>
        <w:t>2</w:t>
      </w:r>
      <w:r>
        <w:rPr>
          <w:rFonts w:hint="eastAsia" w:ascii="方正楷体简体" w:hAnsi="方正楷体简体" w:eastAsia="方正楷体简体" w:cs="方正楷体简体"/>
          <w:b w:val="0"/>
          <w:bCs w:val="0"/>
          <w:color w:val="000000"/>
          <w:sz w:val="36"/>
          <w:szCs w:val="36"/>
        </w:rPr>
        <w:t>月</w:t>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_GBK" w:hAnsi="方正小标宋_GBK" w:eastAsia="方正小标宋_GBK" w:cs="方正小标宋_GBK"/>
          <w:color w:val="000000"/>
          <w:sz w:val="36"/>
          <w:szCs w:val="36"/>
        </w:rPr>
        <w:sectPr>
          <w:footerReference r:id="rId3" w:type="default"/>
          <w:pgSz w:w="11906" w:h="16838"/>
          <w:pgMar w:top="1440" w:right="1800" w:bottom="1440" w:left="1800" w:header="851" w:footer="992" w:gutter="0"/>
          <w:pgNumType w:fmt="upperRoman"/>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_GBK" w:hAnsi="方正小标宋_GBK" w:eastAsia="方正小标宋_GBK" w:cs="方正小标宋_GBK"/>
          <w:color w:val="000000"/>
          <w:szCs w:val="44"/>
        </w:rPr>
      </w:pPr>
      <w:r>
        <w:rPr>
          <w:rFonts w:hint="eastAsia" w:ascii="方正小标宋_GBK" w:hAnsi="方正小标宋_GBK" w:eastAsia="方正小标宋_GBK" w:cs="方正小标宋_GBK"/>
          <w:color w:val="000000"/>
          <w:szCs w:val="44"/>
        </w:rPr>
        <w:t>目    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_Toc29508 </w:instrText>
      </w:r>
      <w:r>
        <w:rPr>
          <w:rFonts w:hint="eastAsia" w:asciiTheme="majorEastAsia" w:hAnsiTheme="majorEastAsia" w:eastAsiaTheme="majorEastAsia" w:cstheme="majorEastAsia"/>
          <w:sz w:val="28"/>
          <w:szCs w:val="28"/>
          <w:lang w:val="en-US" w:eastAsia="zh-CN"/>
        </w:rPr>
        <w:fldChar w:fldCharType="separate"/>
      </w:r>
      <w:r>
        <w:rPr>
          <w:rFonts w:hint="eastAsia" w:ascii="黑体" w:hAnsi="黑体" w:eastAsia="黑体" w:cs="黑体"/>
          <w:sz w:val="28"/>
          <w:szCs w:val="28"/>
          <w:lang w:val="en-US" w:eastAsia="zh-CN"/>
        </w:rPr>
        <w:t>一、规划背景</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_Toc20491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（一）基础现状</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val="0"/>
          <w:bCs/>
          <w:kern w:val="44"/>
          <w:sz w:val="28"/>
          <w:szCs w:val="28"/>
          <w:lang w:val="en-US" w:eastAsia="zh-CN" w:bidi="ar-SA"/>
        </w:rPr>
      </w:pPr>
      <w:r>
        <w:rPr>
          <w:rFonts w:hint="eastAsia" w:asciiTheme="majorEastAsia" w:hAnsiTheme="majorEastAsia" w:eastAsiaTheme="majorEastAsia" w:cstheme="majorEastAsia"/>
          <w:b w:val="0"/>
          <w:bCs/>
          <w:kern w:val="44"/>
          <w:sz w:val="28"/>
          <w:szCs w:val="28"/>
          <w:lang w:val="en-US" w:eastAsia="zh-CN" w:bidi="ar-SA"/>
        </w:rPr>
        <w:fldChar w:fldCharType="begin"/>
      </w:r>
      <w:r>
        <w:rPr>
          <w:rFonts w:hint="eastAsia" w:asciiTheme="majorEastAsia" w:hAnsiTheme="majorEastAsia" w:eastAsiaTheme="majorEastAsia" w:cstheme="majorEastAsia"/>
          <w:b w:val="0"/>
          <w:bCs/>
          <w:kern w:val="44"/>
          <w:sz w:val="28"/>
          <w:szCs w:val="28"/>
          <w:lang w:val="en-US" w:eastAsia="zh-CN" w:bidi="ar-SA"/>
        </w:rPr>
        <w:instrText xml:space="preserve"> HYPERLINK \l _Toc17999_WPSOffice_Level3 </w:instrText>
      </w:r>
      <w:r>
        <w:rPr>
          <w:rFonts w:hint="eastAsia" w:asciiTheme="majorEastAsia" w:hAnsiTheme="majorEastAsia" w:eastAsiaTheme="majorEastAsia" w:cstheme="majorEastAsia"/>
          <w:b w:val="0"/>
          <w:bCs/>
          <w:kern w:val="44"/>
          <w:sz w:val="28"/>
          <w:szCs w:val="28"/>
          <w:lang w:val="en-US" w:eastAsia="zh-CN" w:bidi="ar-SA"/>
        </w:rPr>
        <w:fldChar w:fldCharType="separate"/>
      </w:r>
      <w:sdt>
        <w:sdtPr>
          <w:rPr>
            <w:rFonts w:hint="eastAsia" w:ascii="仿宋" w:hAnsi="仿宋" w:eastAsia="仿宋" w:cs="仿宋"/>
            <w:b w:val="0"/>
            <w:bCs/>
            <w:kern w:val="44"/>
            <w:sz w:val="28"/>
            <w:szCs w:val="28"/>
            <w:lang w:val="en-US" w:eastAsia="zh-CN" w:bidi="ar-SA"/>
          </w:rPr>
          <w:id w:val="147456509"/>
          <w:placeholder>
            <w:docPart w:val="{ae12c440-ea32-4fbe-9fd2-970ffe14ee7b}"/>
          </w:placeholder>
        </w:sdtPr>
        <w:sdtEndPr>
          <w:rPr>
            <w:rFonts w:hint="eastAsia" w:ascii="仿宋" w:hAnsi="仿宋" w:eastAsia="仿宋" w:cs="仿宋"/>
            <w:b w:val="0"/>
            <w:bCs/>
            <w:kern w:val="44"/>
            <w:sz w:val="28"/>
            <w:szCs w:val="28"/>
            <w:lang w:val="en-US" w:eastAsia="zh-CN" w:bidi="ar-SA"/>
          </w:rPr>
        </w:sdtEndPr>
        <w:sdtContent>
          <w:r>
            <w:rPr>
              <w:rFonts w:hint="eastAsia" w:ascii="仿宋" w:hAnsi="仿宋" w:eastAsia="仿宋" w:cs="仿宋"/>
              <w:b w:val="0"/>
              <w:bCs/>
              <w:kern w:val="44"/>
              <w:sz w:val="28"/>
              <w:szCs w:val="28"/>
              <w:lang w:val="en-US" w:eastAsia="zh-CN" w:bidi="ar-SA"/>
            </w:rPr>
            <w:t>1.医疗卫生资源总量持续增加</w:t>
          </w:r>
        </w:sdtContent>
      </w:sdt>
      <w:r>
        <w:rPr>
          <w:rFonts w:hint="eastAsia" w:asciiTheme="majorEastAsia" w:hAnsiTheme="majorEastAsia" w:eastAsiaTheme="majorEastAsia" w:cstheme="majorEastAsia"/>
          <w:b w:val="0"/>
          <w:bCs/>
          <w:kern w:val="44"/>
          <w:sz w:val="28"/>
          <w:szCs w:val="28"/>
          <w:lang w:val="en-US" w:eastAsia="zh-CN" w:bidi="ar-SA"/>
        </w:rPr>
        <w:tab/>
      </w:r>
      <w:r>
        <w:rPr>
          <w:rFonts w:hint="eastAsia" w:asciiTheme="majorEastAsia" w:hAnsiTheme="majorEastAsia" w:eastAsiaTheme="majorEastAsia" w:cstheme="majorEastAsia"/>
          <w:b w:val="0"/>
          <w:bCs/>
          <w:kern w:val="44"/>
          <w:sz w:val="28"/>
          <w:szCs w:val="28"/>
          <w:lang w:val="en-US" w:eastAsia="zh-CN" w:bidi="ar-SA"/>
        </w:rPr>
        <w:t>1</w:t>
      </w:r>
      <w:r>
        <w:rPr>
          <w:rFonts w:hint="eastAsia" w:asciiTheme="majorEastAsia" w:hAnsiTheme="majorEastAsia" w:eastAsiaTheme="majorEastAsia" w:cstheme="majorEastAsia"/>
          <w:b w:val="0"/>
          <w:bCs/>
          <w:kern w:val="44"/>
          <w:sz w:val="28"/>
          <w:szCs w:val="28"/>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val="0"/>
          <w:bCs/>
          <w:kern w:val="44"/>
          <w:sz w:val="28"/>
          <w:szCs w:val="28"/>
          <w:lang w:val="en-US" w:eastAsia="zh-CN" w:bidi="ar-SA"/>
        </w:rPr>
      </w:pPr>
      <w:r>
        <w:rPr>
          <w:rFonts w:hint="eastAsia" w:asciiTheme="majorEastAsia" w:hAnsiTheme="majorEastAsia" w:eastAsiaTheme="majorEastAsia" w:cstheme="majorEastAsia"/>
          <w:b w:val="0"/>
          <w:bCs/>
          <w:kern w:val="44"/>
          <w:sz w:val="28"/>
          <w:szCs w:val="28"/>
          <w:lang w:val="en-US" w:eastAsia="zh-CN" w:bidi="ar-SA"/>
        </w:rPr>
        <w:fldChar w:fldCharType="begin"/>
      </w:r>
      <w:r>
        <w:rPr>
          <w:rFonts w:hint="eastAsia" w:asciiTheme="majorEastAsia" w:hAnsiTheme="majorEastAsia" w:eastAsiaTheme="majorEastAsia" w:cstheme="majorEastAsia"/>
          <w:b w:val="0"/>
          <w:bCs/>
          <w:kern w:val="44"/>
          <w:sz w:val="28"/>
          <w:szCs w:val="28"/>
          <w:lang w:val="en-US" w:eastAsia="zh-CN" w:bidi="ar-SA"/>
        </w:rPr>
        <w:instrText xml:space="preserve"> HYPERLINK \l _Toc17809_WPSOffice_Level3 </w:instrText>
      </w:r>
      <w:r>
        <w:rPr>
          <w:rFonts w:hint="eastAsia" w:asciiTheme="majorEastAsia" w:hAnsiTheme="majorEastAsia" w:eastAsiaTheme="majorEastAsia" w:cstheme="majorEastAsia"/>
          <w:b w:val="0"/>
          <w:bCs/>
          <w:kern w:val="44"/>
          <w:sz w:val="28"/>
          <w:szCs w:val="28"/>
          <w:lang w:val="en-US" w:eastAsia="zh-CN" w:bidi="ar-SA"/>
        </w:rPr>
        <w:fldChar w:fldCharType="separate"/>
      </w:r>
      <w:sdt>
        <w:sdtPr>
          <w:rPr>
            <w:rFonts w:hint="eastAsia" w:ascii="仿宋" w:hAnsi="仿宋" w:eastAsia="仿宋" w:cs="仿宋"/>
            <w:b w:val="0"/>
            <w:bCs/>
            <w:kern w:val="44"/>
            <w:sz w:val="28"/>
            <w:szCs w:val="28"/>
            <w:lang w:val="en-US" w:eastAsia="zh-CN" w:bidi="ar-SA"/>
          </w:rPr>
          <w:id w:val="147456509"/>
          <w:placeholder>
            <w:docPart w:val="{9f141782-56bb-42ab-8a6c-02a3a19aaab3}"/>
          </w:placeholder>
        </w:sdtPr>
        <w:sdtEndPr>
          <w:rPr>
            <w:rFonts w:hint="eastAsia" w:ascii="仿宋" w:hAnsi="仿宋" w:eastAsia="仿宋" w:cs="仿宋"/>
            <w:b w:val="0"/>
            <w:bCs/>
            <w:kern w:val="44"/>
            <w:sz w:val="28"/>
            <w:szCs w:val="28"/>
            <w:lang w:val="en-US" w:eastAsia="zh-CN" w:bidi="ar-SA"/>
          </w:rPr>
        </w:sdtEndPr>
        <w:sdtContent>
          <w:r>
            <w:rPr>
              <w:rFonts w:hint="eastAsia" w:ascii="仿宋" w:hAnsi="仿宋" w:eastAsia="仿宋" w:cs="仿宋"/>
              <w:b w:val="0"/>
              <w:bCs/>
              <w:kern w:val="44"/>
              <w:sz w:val="28"/>
              <w:szCs w:val="28"/>
              <w:lang w:val="en-US" w:eastAsia="zh-CN" w:bidi="ar-SA"/>
            </w:rPr>
            <w:t>2.医疗卫生基础设施逐步完善</w:t>
          </w:r>
        </w:sdtContent>
      </w:sdt>
      <w:r>
        <w:rPr>
          <w:rFonts w:hint="eastAsia" w:asciiTheme="majorEastAsia" w:hAnsiTheme="majorEastAsia" w:eastAsiaTheme="majorEastAsia" w:cstheme="majorEastAsia"/>
          <w:b w:val="0"/>
          <w:bCs/>
          <w:kern w:val="44"/>
          <w:sz w:val="28"/>
          <w:szCs w:val="28"/>
          <w:lang w:val="en-US" w:eastAsia="zh-CN" w:bidi="ar-SA"/>
        </w:rPr>
        <w:tab/>
      </w:r>
      <w:r>
        <w:rPr>
          <w:rFonts w:hint="eastAsia" w:asciiTheme="majorEastAsia" w:hAnsiTheme="majorEastAsia" w:eastAsiaTheme="majorEastAsia" w:cstheme="majorEastAsia"/>
          <w:b w:val="0"/>
          <w:bCs/>
          <w:kern w:val="44"/>
          <w:sz w:val="28"/>
          <w:szCs w:val="28"/>
          <w:lang w:val="en-US" w:eastAsia="zh-CN" w:bidi="ar-SA"/>
        </w:rPr>
        <w:t>2</w:t>
      </w:r>
      <w:r>
        <w:rPr>
          <w:rFonts w:hint="eastAsia" w:asciiTheme="majorEastAsia" w:hAnsiTheme="majorEastAsia" w:eastAsiaTheme="majorEastAsia" w:cstheme="majorEastAsia"/>
          <w:b w:val="0"/>
          <w:bCs/>
          <w:kern w:val="44"/>
          <w:sz w:val="28"/>
          <w:szCs w:val="28"/>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val="0"/>
          <w:bCs/>
          <w:kern w:val="44"/>
          <w:sz w:val="28"/>
          <w:szCs w:val="28"/>
          <w:lang w:val="en-US" w:eastAsia="zh-CN" w:bidi="ar-SA"/>
        </w:rPr>
      </w:pPr>
      <w:r>
        <w:rPr>
          <w:rFonts w:hint="eastAsia" w:asciiTheme="majorEastAsia" w:hAnsiTheme="majorEastAsia" w:eastAsiaTheme="majorEastAsia" w:cstheme="majorEastAsia"/>
          <w:b w:val="0"/>
          <w:bCs/>
          <w:kern w:val="44"/>
          <w:sz w:val="28"/>
          <w:szCs w:val="28"/>
          <w:lang w:val="en-US" w:eastAsia="zh-CN" w:bidi="ar-SA"/>
        </w:rPr>
        <w:fldChar w:fldCharType="begin"/>
      </w:r>
      <w:r>
        <w:rPr>
          <w:rFonts w:hint="eastAsia" w:asciiTheme="majorEastAsia" w:hAnsiTheme="majorEastAsia" w:eastAsiaTheme="majorEastAsia" w:cstheme="majorEastAsia"/>
          <w:b w:val="0"/>
          <w:bCs/>
          <w:kern w:val="44"/>
          <w:sz w:val="28"/>
          <w:szCs w:val="28"/>
          <w:lang w:val="en-US" w:eastAsia="zh-CN" w:bidi="ar-SA"/>
        </w:rPr>
        <w:instrText xml:space="preserve"> HYPERLINK \l _Toc7101_WPSOffice_Level3 </w:instrText>
      </w:r>
      <w:r>
        <w:rPr>
          <w:rFonts w:hint="eastAsia" w:asciiTheme="majorEastAsia" w:hAnsiTheme="majorEastAsia" w:eastAsiaTheme="majorEastAsia" w:cstheme="majorEastAsia"/>
          <w:b w:val="0"/>
          <w:bCs/>
          <w:kern w:val="44"/>
          <w:sz w:val="28"/>
          <w:szCs w:val="28"/>
          <w:lang w:val="en-US" w:eastAsia="zh-CN" w:bidi="ar-SA"/>
        </w:rPr>
        <w:fldChar w:fldCharType="separate"/>
      </w:r>
      <w:sdt>
        <w:sdtPr>
          <w:rPr>
            <w:rFonts w:hint="eastAsia" w:ascii="仿宋" w:hAnsi="仿宋" w:eastAsia="仿宋" w:cs="仿宋"/>
            <w:b w:val="0"/>
            <w:bCs/>
            <w:kern w:val="44"/>
            <w:sz w:val="28"/>
            <w:szCs w:val="28"/>
            <w:lang w:val="en-US" w:eastAsia="zh-CN" w:bidi="ar-SA"/>
          </w:rPr>
          <w:id w:val="147456509"/>
          <w:placeholder>
            <w:docPart w:val="{1dfd5094-c928-4c41-aed6-3ced57412713}"/>
          </w:placeholder>
        </w:sdtPr>
        <w:sdtEndPr>
          <w:rPr>
            <w:rFonts w:hint="eastAsia" w:asciiTheme="majorEastAsia" w:hAnsiTheme="majorEastAsia" w:eastAsiaTheme="majorEastAsia" w:cstheme="majorEastAsia"/>
            <w:b w:val="0"/>
            <w:bCs/>
            <w:kern w:val="44"/>
            <w:sz w:val="28"/>
            <w:szCs w:val="28"/>
            <w:lang w:val="en-US" w:eastAsia="zh-CN" w:bidi="ar-SA"/>
          </w:rPr>
        </w:sdtEndPr>
        <w:sdtContent>
          <w:r>
            <w:rPr>
              <w:rFonts w:hint="eastAsia" w:ascii="仿宋" w:hAnsi="仿宋" w:eastAsia="仿宋" w:cs="仿宋"/>
              <w:b w:val="0"/>
              <w:bCs/>
              <w:kern w:val="44"/>
              <w:sz w:val="28"/>
              <w:szCs w:val="28"/>
              <w:lang w:val="en-US" w:eastAsia="zh-CN" w:bidi="ar-SA"/>
            </w:rPr>
            <w:t>3.医疗服务综合能力不断提升</w:t>
          </w:r>
        </w:sdtContent>
      </w:sdt>
      <w:r>
        <w:rPr>
          <w:rFonts w:hint="eastAsia" w:asciiTheme="majorEastAsia" w:hAnsiTheme="majorEastAsia" w:eastAsiaTheme="majorEastAsia" w:cstheme="majorEastAsia"/>
          <w:b w:val="0"/>
          <w:bCs/>
          <w:kern w:val="44"/>
          <w:sz w:val="28"/>
          <w:szCs w:val="28"/>
          <w:lang w:val="en-US" w:eastAsia="zh-CN" w:bidi="ar-SA"/>
        </w:rPr>
        <w:tab/>
      </w:r>
      <w:r>
        <w:rPr>
          <w:rFonts w:hint="eastAsia" w:asciiTheme="majorEastAsia" w:hAnsiTheme="majorEastAsia" w:eastAsiaTheme="majorEastAsia" w:cstheme="majorEastAsia"/>
          <w:b w:val="0"/>
          <w:bCs/>
          <w:kern w:val="44"/>
          <w:sz w:val="28"/>
          <w:szCs w:val="28"/>
          <w:lang w:val="en-US" w:eastAsia="zh-CN" w:bidi="ar-SA"/>
        </w:rPr>
        <w:t>2</w:t>
      </w:r>
      <w:r>
        <w:rPr>
          <w:rFonts w:hint="eastAsia" w:asciiTheme="majorEastAsia" w:hAnsiTheme="majorEastAsia" w:eastAsiaTheme="majorEastAsia" w:cstheme="majorEastAsia"/>
          <w:b w:val="0"/>
          <w:bCs/>
          <w:kern w:val="44"/>
          <w:sz w:val="28"/>
          <w:szCs w:val="28"/>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val="0"/>
          <w:bCs/>
          <w:kern w:val="44"/>
          <w:sz w:val="28"/>
          <w:szCs w:val="28"/>
          <w:lang w:val="en-US" w:eastAsia="zh-CN" w:bidi="ar-SA"/>
        </w:rPr>
      </w:pPr>
      <w:r>
        <w:rPr>
          <w:rFonts w:hint="eastAsia" w:asciiTheme="majorEastAsia" w:hAnsiTheme="majorEastAsia" w:eastAsiaTheme="majorEastAsia" w:cstheme="majorEastAsia"/>
          <w:b w:val="0"/>
          <w:bCs/>
          <w:kern w:val="44"/>
          <w:sz w:val="28"/>
          <w:szCs w:val="28"/>
          <w:lang w:val="en-US" w:eastAsia="zh-CN" w:bidi="ar-SA"/>
        </w:rPr>
        <w:fldChar w:fldCharType="begin"/>
      </w:r>
      <w:r>
        <w:rPr>
          <w:rFonts w:hint="eastAsia" w:asciiTheme="majorEastAsia" w:hAnsiTheme="majorEastAsia" w:eastAsiaTheme="majorEastAsia" w:cstheme="majorEastAsia"/>
          <w:b w:val="0"/>
          <w:bCs/>
          <w:kern w:val="44"/>
          <w:sz w:val="28"/>
          <w:szCs w:val="28"/>
          <w:lang w:val="en-US" w:eastAsia="zh-CN" w:bidi="ar-SA"/>
        </w:rPr>
        <w:instrText xml:space="preserve"> HYPERLINK \l _Toc11278_WPSOffice_Level3 </w:instrText>
      </w:r>
      <w:r>
        <w:rPr>
          <w:rFonts w:hint="eastAsia" w:asciiTheme="majorEastAsia" w:hAnsiTheme="majorEastAsia" w:eastAsiaTheme="majorEastAsia" w:cstheme="majorEastAsia"/>
          <w:b w:val="0"/>
          <w:bCs/>
          <w:kern w:val="44"/>
          <w:sz w:val="28"/>
          <w:szCs w:val="28"/>
          <w:lang w:val="en-US" w:eastAsia="zh-CN" w:bidi="ar-SA"/>
        </w:rPr>
        <w:fldChar w:fldCharType="separate"/>
      </w:r>
      <w:sdt>
        <w:sdtPr>
          <w:rPr>
            <w:rFonts w:hint="eastAsia" w:ascii="仿宋" w:hAnsi="仿宋" w:eastAsia="仿宋" w:cs="仿宋"/>
            <w:b w:val="0"/>
            <w:bCs/>
            <w:kern w:val="44"/>
            <w:sz w:val="28"/>
            <w:szCs w:val="28"/>
            <w:lang w:val="en-US" w:eastAsia="zh-CN" w:bidi="ar-SA"/>
          </w:rPr>
          <w:id w:val="147456509"/>
          <w:placeholder>
            <w:docPart w:val="{60221a60-b759-495d-aad8-e8a5f3552702}"/>
          </w:placeholder>
        </w:sdtPr>
        <w:sdtEndPr>
          <w:rPr>
            <w:rFonts w:hint="eastAsia" w:ascii="仿宋" w:hAnsi="仿宋" w:eastAsia="仿宋" w:cs="仿宋"/>
            <w:b w:val="0"/>
            <w:bCs/>
            <w:kern w:val="44"/>
            <w:sz w:val="28"/>
            <w:szCs w:val="28"/>
            <w:lang w:val="en-US" w:eastAsia="zh-CN" w:bidi="ar-SA"/>
          </w:rPr>
        </w:sdtEndPr>
        <w:sdtContent>
          <w:r>
            <w:rPr>
              <w:rFonts w:hint="eastAsia" w:ascii="仿宋" w:hAnsi="仿宋" w:eastAsia="仿宋" w:cs="仿宋"/>
              <w:b w:val="0"/>
              <w:bCs/>
              <w:kern w:val="44"/>
              <w:sz w:val="28"/>
              <w:szCs w:val="28"/>
              <w:lang w:val="en-US" w:eastAsia="zh-CN" w:bidi="ar-SA"/>
            </w:rPr>
            <w:t>4.医疗卫生服务体系进一步健全</w:t>
          </w:r>
        </w:sdtContent>
      </w:sdt>
      <w:r>
        <w:rPr>
          <w:rFonts w:hint="eastAsia" w:asciiTheme="majorEastAsia" w:hAnsiTheme="majorEastAsia" w:eastAsiaTheme="majorEastAsia" w:cstheme="majorEastAsia"/>
          <w:b w:val="0"/>
          <w:bCs/>
          <w:kern w:val="44"/>
          <w:sz w:val="28"/>
          <w:szCs w:val="28"/>
          <w:lang w:val="en-US" w:eastAsia="zh-CN" w:bidi="ar-SA"/>
        </w:rPr>
        <w:tab/>
      </w:r>
      <w:r>
        <w:rPr>
          <w:rFonts w:hint="eastAsia" w:asciiTheme="majorEastAsia" w:hAnsiTheme="majorEastAsia" w:eastAsiaTheme="majorEastAsia" w:cstheme="majorEastAsia"/>
          <w:b w:val="0"/>
          <w:bCs/>
          <w:kern w:val="44"/>
          <w:sz w:val="28"/>
          <w:szCs w:val="28"/>
          <w:lang w:val="en-US" w:eastAsia="zh-CN" w:bidi="ar-SA"/>
        </w:rPr>
        <w:t>3</w:t>
      </w:r>
      <w:r>
        <w:rPr>
          <w:rFonts w:hint="eastAsia" w:asciiTheme="majorEastAsia" w:hAnsiTheme="majorEastAsia" w:eastAsiaTheme="majorEastAsia" w:cstheme="majorEastAsia"/>
          <w:b w:val="0"/>
          <w:bCs/>
          <w:kern w:val="44"/>
          <w:sz w:val="28"/>
          <w:szCs w:val="28"/>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val="0"/>
          <w:bCs/>
          <w:kern w:val="44"/>
          <w:sz w:val="28"/>
          <w:szCs w:val="28"/>
          <w:lang w:val="en-US" w:eastAsia="zh-CN" w:bidi="ar-SA"/>
        </w:rPr>
      </w:pPr>
      <w:sdt>
        <w:sdtPr>
          <w:rPr>
            <w:rFonts w:hint="eastAsia" w:asciiTheme="majorEastAsia" w:hAnsiTheme="majorEastAsia" w:eastAsiaTheme="majorEastAsia" w:cstheme="majorEastAsia"/>
            <w:b w:val="0"/>
            <w:bCs/>
            <w:kern w:val="44"/>
            <w:sz w:val="28"/>
            <w:szCs w:val="28"/>
            <w:lang w:val="en-US" w:eastAsia="zh-CN" w:bidi="ar-SA"/>
          </w:rPr>
          <w:id w:val="147456509"/>
          <w:placeholder>
            <w:docPart w:val="{4e3a35fd-7899-4cd0-a795-56ca4ae917f4}"/>
          </w:placeholder>
        </w:sdtPr>
        <w:sdtEndPr>
          <w:rPr>
            <w:rFonts w:hint="eastAsia" w:asciiTheme="majorEastAsia" w:hAnsiTheme="majorEastAsia" w:eastAsiaTheme="majorEastAsia" w:cstheme="majorEastAsia"/>
            <w:b w:val="0"/>
            <w:bCs/>
            <w:kern w:val="44"/>
            <w:sz w:val="28"/>
            <w:szCs w:val="28"/>
            <w:lang w:val="en-US" w:eastAsia="zh-CN" w:bidi="ar-SA"/>
          </w:rPr>
        </w:sdtEndPr>
        <w:sdtContent>
          <w:r>
            <w:rPr>
              <w:rFonts w:hint="eastAsia" w:ascii="仿宋" w:hAnsi="仿宋" w:eastAsia="仿宋" w:cs="仿宋"/>
              <w:b w:val="0"/>
              <w:bCs/>
              <w:kern w:val="44"/>
              <w:sz w:val="28"/>
              <w:szCs w:val="28"/>
              <w:lang w:val="en-US" w:eastAsia="zh-CN" w:bidi="ar-SA"/>
            </w:rPr>
            <w:t>5.完善重大疾病联防联控机制</w:t>
          </w:r>
        </w:sdtContent>
      </w:sdt>
      <w:r>
        <w:rPr>
          <w:rFonts w:hint="eastAsia" w:asciiTheme="majorEastAsia" w:hAnsiTheme="majorEastAsia" w:eastAsiaTheme="majorEastAsia" w:cstheme="majorEastAsia"/>
          <w:b w:val="0"/>
          <w:bCs/>
          <w:kern w:val="44"/>
          <w:sz w:val="28"/>
          <w:szCs w:val="28"/>
          <w:lang w:val="en-US" w:eastAsia="zh-CN" w:bidi="ar-SA"/>
        </w:rPr>
        <w:fldChar w:fldCharType="begin"/>
      </w:r>
      <w:r>
        <w:rPr>
          <w:rFonts w:hint="eastAsia" w:asciiTheme="majorEastAsia" w:hAnsiTheme="majorEastAsia" w:eastAsiaTheme="majorEastAsia" w:cstheme="majorEastAsia"/>
          <w:b w:val="0"/>
          <w:bCs/>
          <w:kern w:val="44"/>
          <w:sz w:val="28"/>
          <w:szCs w:val="28"/>
          <w:lang w:val="en-US" w:eastAsia="zh-CN" w:bidi="ar-SA"/>
        </w:rPr>
        <w:instrText xml:space="preserve"> HYPERLINK \l _Toc22159_WPSOffice_Level3 </w:instrText>
      </w:r>
      <w:r>
        <w:rPr>
          <w:rFonts w:hint="eastAsia" w:asciiTheme="majorEastAsia" w:hAnsiTheme="majorEastAsia" w:eastAsiaTheme="majorEastAsia" w:cstheme="majorEastAsia"/>
          <w:b w:val="0"/>
          <w:bCs/>
          <w:kern w:val="44"/>
          <w:sz w:val="28"/>
          <w:szCs w:val="28"/>
          <w:lang w:val="en-US" w:eastAsia="zh-CN" w:bidi="ar-SA"/>
        </w:rPr>
        <w:fldChar w:fldCharType="separate"/>
      </w:r>
      <w:r>
        <w:rPr>
          <w:rFonts w:hint="eastAsia" w:asciiTheme="majorEastAsia" w:hAnsiTheme="majorEastAsia" w:eastAsiaTheme="majorEastAsia" w:cstheme="majorEastAsia"/>
          <w:b w:val="0"/>
          <w:bCs/>
          <w:kern w:val="44"/>
          <w:sz w:val="28"/>
          <w:szCs w:val="28"/>
          <w:lang w:val="en-US" w:eastAsia="zh-CN" w:bidi="ar-SA"/>
        </w:rPr>
        <w:tab/>
      </w:r>
      <w:r>
        <w:rPr>
          <w:rFonts w:hint="eastAsia" w:asciiTheme="majorEastAsia" w:hAnsiTheme="majorEastAsia" w:eastAsiaTheme="majorEastAsia" w:cstheme="majorEastAsia"/>
          <w:b w:val="0"/>
          <w:bCs/>
          <w:kern w:val="44"/>
          <w:sz w:val="28"/>
          <w:szCs w:val="28"/>
          <w:lang w:val="en-US" w:eastAsia="zh-CN" w:bidi="ar-SA"/>
        </w:rPr>
        <w:t>4</w:t>
      </w:r>
      <w:r>
        <w:rPr>
          <w:rFonts w:hint="eastAsia" w:asciiTheme="majorEastAsia" w:hAnsiTheme="majorEastAsia" w:eastAsiaTheme="majorEastAsia" w:cstheme="majorEastAsia"/>
          <w:b w:val="0"/>
          <w:bCs/>
          <w:kern w:val="44"/>
          <w:sz w:val="28"/>
          <w:szCs w:val="28"/>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840" w:leftChars="400" w:firstLine="0" w:firstLineChars="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val="0"/>
          <w:bCs/>
          <w:kern w:val="44"/>
          <w:sz w:val="28"/>
          <w:szCs w:val="28"/>
          <w:lang w:val="en-US" w:eastAsia="zh-CN" w:bidi="ar-SA"/>
        </w:rPr>
        <w:fldChar w:fldCharType="begin"/>
      </w:r>
      <w:r>
        <w:rPr>
          <w:rFonts w:hint="eastAsia" w:asciiTheme="majorEastAsia" w:hAnsiTheme="majorEastAsia" w:eastAsiaTheme="majorEastAsia" w:cstheme="majorEastAsia"/>
          <w:b w:val="0"/>
          <w:bCs/>
          <w:kern w:val="44"/>
          <w:sz w:val="28"/>
          <w:szCs w:val="28"/>
          <w:lang w:val="en-US" w:eastAsia="zh-CN" w:bidi="ar-SA"/>
        </w:rPr>
        <w:instrText xml:space="preserve"> HYPERLINK \l _Toc18658_WPSOffice_Level3 </w:instrText>
      </w:r>
      <w:r>
        <w:rPr>
          <w:rFonts w:hint="eastAsia" w:asciiTheme="majorEastAsia" w:hAnsiTheme="majorEastAsia" w:eastAsiaTheme="majorEastAsia" w:cstheme="majorEastAsia"/>
          <w:b w:val="0"/>
          <w:bCs/>
          <w:kern w:val="44"/>
          <w:sz w:val="28"/>
          <w:szCs w:val="28"/>
          <w:lang w:val="en-US" w:eastAsia="zh-CN" w:bidi="ar-SA"/>
        </w:rPr>
        <w:fldChar w:fldCharType="separate"/>
      </w:r>
      <w:sdt>
        <w:sdtPr>
          <w:rPr>
            <w:rFonts w:hint="eastAsia" w:ascii="仿宋" w:hAnsi="仿宋" w:eastAsia="仿宋" w:cs="仿宋"/>
            <w:b w:val="0"/>
            <w:bCs/>
            <w:kern w:val="44"/>
            <w:sz w:val="28"/>
            <w:szCs w:val="28"/>
            <w:lang w:val="en-US" w:eastAsia="zh-CN" w:bidi="ar-SA"/>
          </w:rPr>
          <w:id w:val="147456509"/>
          <w:placeholder>
            <w:docPart w:val="{b406f975-7823-4f49-aa43-da87f6f83073}"/>
          </w:placeholder>
        </w:sdtPr>
        <w:sdtEndPr>
          <w:rPr>
            <w:rFonts w:hint="eastAsia" w:ascii="仿宋" w:hAnsi="仿宋" w:eastAsia="仿宋" w:cs="仿宋"/>
            <w:b w:val="0"/>
            <w:bCs/>
            <w:kern w:val="44"/>
            <w:sz w:val="28"/>
            <w:szCs w:val="28"/>
            <w:lang w:val="en-US" w:eastAsia="zh-CN" w:bidi="ar-SA"/>
          </w:rPr>
        </w:sdtEndPr>
        <w:sdtContent>
          <w:r>
            <w:rPr>
              <w:rFonts w:hint="eastAsia" w:ascii="仿宋" w:hAnsi="仿宋" w:eastAsia="仿宋" w:cs="仿宋"/>
              <w:b w:val="0"/>
              <w:bCs/>
              <w:kern w:val="44"/>
              <w:sz w:val="28"/>
              <w:szCs w:val="28"/>
              <w:lang w:val="en-US" w:eastAsia="zh-CN" w:bidi="ar-SA"/>
            </w:rPr>
            <w:t>6.实施健康饶平行动</w:t>
          </w:r>
        </w:sdtContent>
      </w:sdt>
      <w:r>
        <w:rPr>
          <w:rFonts w:hint="eastAsia" w:asciiTheme="majorEastAsia" w:hAnsiTheme="majorEastAsia" w:eastAsiaTheme="majorEastAsia" w:cstheme="majorEastAsia"/>
          <w:b w:val="0"/>
          <w:bCs/>
          <w:kern w:val="44"/>
          <w:sz w:val="28"/>
          <w:szCs w:val="28"/>
          <w:lang w:val="en-US" w:eastAsia="zh-CN" w:bidi="ar-SA"/>
        </w:rPr>
        <w:tab/>
      </w:r>
      <w:r>
        <w:rPr>
          <w:rFonts w:hint="eastAsia" w:asciiTheme="majorEastAsia" w:hAnsiTheme="majorEastAsia" w:eastAsiaTheme="majorEastAsia" w:cstheme="majorEastAsia"/>
          <w:b w:val="0"/>
          <w:bCs/>
          <w:kern w:val="44"/>
          <w:sz w:val="28"/>
          <w:szCs w:val="28"/>
          <w:lang w:val="en-US" w:eastAsia="zh-CN" w:bidi="ar-SA"/>
        </w:rPr>
        <w:t>5</w:t>
      </w:r>
      <w:r>
        <w:rPr>
          <w:rFonts w:hint="eastAsia" w:asciiTheme="majorEastAsia" w:hAnsiTheme="majorEastAsia" w:eastAsiaTheme="majorEastAsia" w:cstheme="majorEastAsia"/>
          <w:b w:val="0"/>
          <w:bCs/>
          <w:kern w:val="44"/>
          <w:sz w:val="28"/>
          <w:szCs w:val="28"/>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_Toc6982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（二）形势与挑战</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val="en-US" w:eastAsia="zh-CN"/>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_Toc2056_WPSOffice_Level3 </w:instrText>
      </w:r>
      <w:r>
        <w:rPr>
          <w:rFonts w:hint="eastAsia" w:asciiTheme="majorEastAsia" w:hAnsiTheme="majorEastAsia" w:eastAsiaTheme="majorEastAsia" w:cstheme="majorEastAsia"/>
          <w:sz w:val="28"/>
          <w:szCs w:val="28"/>
        </w:rPr>
        <w:fldChar w:fldCharType="separate"/>
      </w:r>
      <w:sdt>
        <w:sdtPr>
          <w:rPr>
            <w:rFonts w:hint="eastAsia" w:ascii="仿宋" w:hAnsi="仿宋" w:eastAsia="仿宋" w:cs="仿宋"/>
            <w:b w:val="0"/>
            <w:bCs/>
            <w:kern w:val="44"/>
            <w:sz w:val="28"/>
            <w:szCs w:val="28"/>
            <w:lang w:val="en-US" w:eastAsia="zh-CN" w:bidi="ar-SA"/>
          </w:rPr>
          <w:id w:val="147452728"/>
          <w:placeholder>
            <w:docPart w:val="{12e3c34d-369b-4a32-8973-f05ec71ff5a7}"/>
          </w:placeholder>
        </w:sdtPr>
        <w:sdtEndPr>
          <w:rPr>
            <w:rFonts w:hint="eastAsia" w:ascii="仿宋" w:hAnsi="仿宋" w:eastAsia="仿宋" w:cs="仿宋"/>
            <w:b w:val="0"/>
            <w:bCs/>
            <w:kern w:val="44"/>
            <w:sz w:val="28"/>
            <w:szCs w:val="28"/>
            <w:lang w:val="en-US" w:eastAsia="zh-CN" w:bidi="ar-SA"/>
          </w:rPr>
        </w:sdtEndPr>
        <w:sdtContent>
          <w:r>
            <w:rPr>
              <w:rFonts w:hint="eastAsia" w:ascii="仿宋" w:hAnsi="仿宋" w:eastAsia="仿宋" w:cs="仿宋"/>
              <w:b w:val="0"/>
              <w:bCs/>
              <w:kern w:val="44"/>
              <w:sz w:val="28"/>
              <w:szCs w:val="28"/>
              <w:lang w:val="en-US" w:eastAsia="zh-CN" w:bidi="ar-SA"/>
            </w:rPr>
            <w:t>1.面临的形势</w:t>
          </w:r>
        </w:sdtContent>
      </w:sdt>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_Toc27281_WPSOffice_Level3 </w:instrText>
      </w:r>
      <w:r>
        <w:rPr>
          <w:rFonts w:hint="eastAsia" w:asciiTheme="majorEastAsia" w:hAnsiTheme="majorEastAsia" w:eastAsiaTheme="majorEastAsia" w:cstheme="majorEastAsia"/>
          <w:sz w:val="28"/>
          <w:szCs w:val="28"/>
        </w:rPr>
        <w:fldChar w:fldCharType="separate"/>
      </w:r>
      <w:sdt>
        <w:sdtPr>
          <w:rPr>
            <w:rFonts w:hint="eastAsia" w:ascii="仿宋" w:hAnsi="仿宋" w:eastAsia="仿宋" w:cs="仿宋"/>
            <w:b w:val="0"/>
            <w:bCs/>
            <w:kern w:val="44"/>
            <w:sz w:val="28"/>
            <w:szCs w:val="28"/>
            <w:lang w:val="en-US" w:eastAsia="zh-CN" w:bidi="ar-SA"/>
          </w:rPr>
          <w:id w:val="147452728"/>
          <w:placeholder>
            <w:docPart w:val="{d6cc216a-ce4d-4b41-9760-ce4d51bb45e1}"/>
          </w:placeholder>
        </w:sdtPr>
        <w:sdtEndPr>
          <w:rPr>
            <w:rFonts w:hint="eastAsia" w:ascii="仿宋" w:hAnsi="仿宋" w:eastAsia="仿宋" w:cs="仿宋"/>
            <w:b w:val="0"/>
            <w:bCs/>
            <w:kern w:val="44"/>
            <w:sz w:val="28"/>
            <w:szCs w:val="28"/>
            <w:lang w:val="en-US" w:eastAsia="zh-CN" w:bidi="ar-SA"/>
          </w:rPr>
        </w:sdtEndPr>
        <w:sdtContent>
          <w:r>
            <w:rPr>
              <w:rFonts w:hint="eastAsia" w:ascii="仿宋" w:hAnsi="仿宋" w:eastAsia="仿宋" w:cs="仿宋"/>
              <w:b w:val="0"/>
              <w:bCs/>
              <w:kern w:val="44"/>
              <w:sz w:val="28"/>
              <w:szCs w:val="28"/>
              <w:lang w:val="en-US" w:eastAsia="zh-CN" w:bidi="ar-SA"/>
            </w:rPr>
            <w:t>2.未来的挑战</w:t>
          </w:r>
        </w:sdtContent>
      </w:sdt>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_Toc22419 </w:instrText>
      </w:r>
      <w:r>
        <w:rPr>
          <w:rFonts w:hint="eastAsia" w:asciiTheme="majorEastAsia" w:hAnsiTheme="majorEastAsia" w:eastAsiaTheme="majorEastAsia" w:cstheme="majorEastAsia"/>
          <w:sz w:val="28"/>
          <w:szCs w:val="28"/>
          <w:lang w:val="en-US" w:eastAsia="zh-CN"/>
        </w:rPr>
        <w:fldChar w:fldCharType="separate"/>
      </w:r>
      <w:r>
        <w:rPr>
          <w:rFonts w:hint="eastAsia" w:ascii="黑体" w:hAnsi="黑体" w:eastAsia="黑体" w:cs="黑体"/>
          <w:sz w:val="28"/>
          <w:szCs w:val="28"/>
          <w:lang w:val="en-US" w:eastAsia="zh-CN"/>
        </w:rPr>
        <w:t>二、总体要求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_Toc16546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（一）指导思想</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_Toc956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（二）基本原则</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val="en-US" w:eastAsia="zh-CN"/>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line="480" w:lineRule="exact"/>
        <w:ind w:left="840" w:leftChars="400" w:firstLine="0" w:firstLineChars="0"/>
        <w:textAlignment w:val="auto"/>
        <w:rPr>
          <w:rFonts w:hint="eastAsia" w:hAnsi="仿宋" w:eastAsia="仿宋" w:cs="仿宋" w:asciiTheme="majorAscii"/>
          <w:sz w:val="28"/>
          <w:szCs w:val="28"/>
        </w:rPr>
      </w:pPr>
      <w:r>
        <w:rPr>
          <w:rFonts w:hint="eastAsia" w:hAnsi="仿宋" w:eastAsia="仿宋" w:cs="仿宋" w:asciiTheme="majorAscii"/>
          <w:sz w:val="28"/>
          <w:szCs w:val="28"/>
        </w:rPr>
        <w:fldChar w:fldCharType="begin"/>
      </w:r>
      <w:r>
        <w:rPr>
          <w:rFonts w:hint="eastAsia" w:hAnsi="仿宋" w:eastAsia="仿宋" w:cs="仿宋" w:asciiTheme="majorAscii"/>
          <w:sz w:val="28"/>
          <w:szCs w:val="28"/>
        </w:rPr>
        <w:instrText xml:space="preserve"> HYPERLINK \l _Toc28459_WPSOffice_Level3 </w:instrText>
      </w:r>
      <w:r>
        <w:rPr>
          <w:rFonts w:hint="eastAsia" w:hAnsi="仿宋" w:eastAsia="仿宋" w:cs="仿宋" w:asciiTheme="majorAscii"/>
          <w:sz w:val="28"/>
          <w:szCs w:val="28"/>
        </w:rPr>
        <w:fldChar w:fldCharType="separate"/>
      </w:r>
      <w:sdt>
        <w:sdtPr>
          <w:rPr>
            <w:rFonts w:hint="eastAsia" w:ascii="仿宋" w:hAnsi="仿宋" w:eastAsia="仿宋" w:cs="仿宋"/>
            <w:b/>
            <w:kern w:val="44"/>
            <w:sz w:val="28"/>
            <w:szCs w:val="28"/>
            <w:lang w:val="en-US" w:eastAsia="zh-CN" w:bidi="ar-SA"/>
          </w:rPr>
          <w:id w:val="147452728"/>
          <w:placeholder>
            <w:docPart w:val="{c611863f-5b31-436c-bd41-f2507d7a22cf}"/>
          </w:placeholder>
        </w:sdtPr>
        <w:sdtEndPr>
          <w:rPr>
            <w:rFonts w:hint="eastAsia" w:ascii="仿宋" w:hAnsi="仿宋" w:eastAsia="仿宋" w:cs="仿宋"/>
            <w:b/>
            <w:kern w:val="44"/>
            <w:sz w:val="28"/>
            <w:szCs w:val="28"/>
            <w:lang w:val="en-US" w:eastAsia="zh-CN" w:bidi="ar-SA"/>
          </w:rPr>
        </w:sdtEndPr>
        <w:sdtContent>
          <w:r>
            <w:rPr>
              <w:rFonts w:hint="eastAsia" w:ascii="仿宋" w:hAnsi="仿宋" w:eastAsia="仿宋" w:cs="仿宋"/>
              <w:sz w:val="28"/>
              <w:szCs w:val="28"/>
            </w:rPr>
            <w:t>1.健康优先，促进公平</w:t>
          </w:r>
        </w:sdtContent>
      </w:sdt>
      <w:r>
        <w:rPr>
          <w:rFonts w:hint="eastAsia" w:hAnsi="仿宋" w:eastAsia="仿宋" w:cs="仿宋" w:asciiTheme="majorAscii"/>
          <w:sz w:val="28"/>
          <w:szCs w:val="28"/>
        </w:rPr>
        <w:tab/>
      </w:r>
      <w:r>
        <w:rPr>
          <w:rFonts w:hint="eastAsia" w:hAnsi="仿宋" w:eastAsia="仿宋" w:cs="仿宋" w:asciiTheme="majorAscii"/>
          <w:sz w:val="28"/>
          <w:szCs w:val="28"/>
        </w:rPr>
        <w:t>9</w:t>
      </w:r>
      <w:r>
        <w:rPr>
          <w:rFonts w:hint="eastAsia" w:hAnsi="仿宋" w:eastAsia="仿宋" w:cs="仿宋" w:asciiTheme="majorAscii"/>
          <w:sz w:val="28"/>
          <w:szCs w:val="28"/>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line="480" w:lineRule="exact"/>
        <w:ind w:left="840" w:leftChars="400" w:firstLine="0" w:firstLineChars="0"/>
        <w:textAlignment w:val="auto"/>
        <w:rPr>
          <w:rFonts w:hint="eastAsia" w:hAnsi="仿宋" w:eastAsia="仿宋" w:cs="仿宋" w:asciiTheme="majorAscii"/>
          <w:sz w:val="28"/>
          <w:szCs w:val="28"/>
        </w:rPr>
      </w:pPr>
      <w:r>
        <w:rPr>
          <w:rFonts w:hint="eastAsia" w:hAnsi="仿宋" w:eastAsia="仿宋" w:cs="仿宋" w:asciiTheme="majorAscii"/>
          <w:sz w:val="28"/>
          <w:szCs w:val="28"/>
        </w:rPr>
        <w:fldChar w:fldCharType="begin"/>
      </w:r>
      <w:r>
        <w:rPr>
          <w:rFonts w:hint="eastAsia" w:hAnsi="仿宋" w:eastAsia="仿宋" w:cs="仿宋" w:asciiTheme="majorAscii"/>
          <w:sz w:val="28"/>
          <w:szCs w:val="28"/>
        </w:rPr>
        <w:instrText xml:space="preserve"> HYPERLINK \l _Toc10155_WPSOffice_Level3 </w:instrText>
      </w:r>
      <w:r>
        <w:rPr>
          <w:rFonts w:hint="eastAsia" w:hAnsi="仿宋" w:eastAsia="仿宋" w:cs="仿宋" w:asciiTheme="majorAscii"/>
          <w:sz w:val="28"/>
          <w:szCs w:val="28"/>
        </w:rPr>
        <w:fldChar w:fldCharType="separate"/>
      </w:r>
      <w:sdt>
        <w:sdtPr>
          <w:rPr>
            <w:rFonts w:hint="eastAsia" w:ascii="仿宋" w:hAnsi="仿宋" w:eastAsia="仿宋" w:cs="仿宋"/>
            <w:b/>
            <w:kern w:val="44"/>
            <w:sz w:val="28"/>
            <w:szCs w:val="28"/>
            <w:lang w:val="en-US" w:eastAsia="zh-CN" w:bidi="ar-SA"/>
          </w:rPr>
          <w:id w:val="147452728"/>
          <w:placeholder>
            <w:docPart w:val="{1fb1479e-c723-43c2-a614-94d99a553147}"/>
          </w:placeholder>
        </w:sdtPr>
        <w:sdtEndPr>
          <w:rPr>
            <w:rFonts w:hint="eastAsia" w:ascii="仿宋" w:hAnsi="仿宋" w:eastAsia="仿宋" w:cs="仿宋"/>
            <w:b/>
            <w:kern w:val="44"/>
            <w:sz w:val="28"/>
            <w:szCs w:val="28"/>
            <w:lang w:val="en-US" w:eastAsia="zh-CN" w:bidi="ar-SA"/>
          </w:rPr>
        </w:sdtEndPr>
        <w:sdtContent>
          <w:r>
            <w:rPr>
              <w:rFonts w:hint="eastAsia" w:ascii="仿宋" w:hAnsi="仿宋" w:eastAsia="仿宋" w:cs="仿宋"/>
              <w:sz w:val="28"/>
              <w:szCs w:val="28"/>
            </w:rPr>
            <w:t>2.创新发展、注重实效</w:t>
          </w:r>
        </w:sdtContent>
      </w:sdt>
      <w:r>
        <w:rPr>
          <w:rFonts w:hint="eastAsia" w:hAnsi="仿宋" w:eastAsia="仿宋" w:cs="仿宋" w:asciiTheme="majorAscii"/>
          <w:sz w:val="28"/>
          <w:szCs w:val="28"/>
        </w:rPr>
        <w:tab/>
      </w:r>
      <w:r>
        <w:rPr>
          <w:rFonts w:hint="eastAsia" w:hAnsi="仿宋" w:eastAsia="仿宋" w:cs="仿宋" w:asciiTheme="majorAscii"/>
          <w:sz w:val="28"/>
          <w:szCs w:val="28"/>
        </w:rPr>
        <w:t>10</w:t>
      </w:r>
      <w:r>
        <w:rPr>
          <w:rFonts w:hint="eastAsia" w:hAnsi="仿宋" w:eastAsia="仿宋" w:cs="仿宋" w:asciiTheme="majorAscii"/>
          <w:sz w:val="28"/>
          <w:szCs w:val="28"/>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line="480" w:lineRule="exact"/>
        <w:ind w:left="840" w:leftChars="400" w:firstLine="0" w:firstLineChars="0"/>
        <w:textAlignment w:val="auto"/>
        <w:rPr>
          <w:rFonts w:hint="eastAsia" w:hAnsi="仿宋" w:eastAsia="仿宋" w:cs="仿宋" w:asciiTheme="majorAscii"/>
          <w:sz w:val="28"/>
          <w:szCs w:val="28"/>
        </w:rPr>
      </w:pPr>
      <w:r>
        <w:rPr>
          <w:rFonts w:hint="eastAsia" w:hAnsi="仿宋" w:eastAsia="仿宋" w:cs="仿宋" w:asciiTheme="majorAscii"/>
          <w:sz w:val="28"/>
          <w:szCs w:val="28"/>
        </w:rPr>
        <w:fldChar w:fldCharType="begin"/>
      </w:r>
      <w:r>
        <w:rPr>
          <w:rFonts w:hint="eastAsia" w:hAnsi="仿宋" w:eastAsia="仿宋" w:cs="仿宋" w:asciiTheme="majorAscii"/>
          <w:sz w:val="28"/>
          <w:szCs w:val="28"/>
        </w:rPr>
        <w:instrText xml:space="preserve"> HYPERLINK \l _Toc2675_WPSOffice_Level3 </w:instrText>
      </w:r>
      <w:r>
        <w:rPr>
          <w:rFonts w:hint="eastAsia" w:hAnsi="仿宋" w:eastAsia="仿宋" w:cs="仿宋" w:asciiTheme="majorAscii"/>
          <w:sz w:val="28"/>
          <w:szCs w:val="28"/>
        </w:rPr>
        <w:fldChar w:fldCharType="separate"/>
      </w:r>
      <w:sdt>
        <w:sdtPr>
          <w:rPr>
            <w:rFonts w:hint="eastAsia" w:ascii="仿宋" w:hAnsi="仿宋" w:eastAsia="仿宋" w:cs="仿宋"/>
            <w:b/>
            <w:kern w:val="44"/>
            <w:sz w:val="28"/>
            <w:szCs w:val="28"/>
            <w:lang w:val="en-US" w:eastAsia="zh-CN" w:bidi="ar-SA"/>
          </w:rPr>
          <w:id w:val="147452728"/>
          <w:placeholder>
            <w:docPart w:val="{aeb5c258-c717-4188-93ea-530df1f57696}"/>
          </w:placeholder>
        </w:sdtPr>
        <w:sdtEndPr>
          <w:rPr>
            <w:rFonts w:hint="eastAsia" w:hAnsi="仿宋" w:eastAsia="仿宋" w:cs="仿宋" w:asciiTheme="majorAscii"/>
            <w:b/>
            <w:kern w:val="44"/>
            <w:sz w:val="28"/>
            <w:szCs w:val="28"/>
            <w:lang w:val="en-US" w:eastAsia="zh-CN" w:bidi="ar-SA"/>
          </w:rPr>
        </w:sdtEndPr>
        <w:sdtContent>
          <w:r>
            <w:rPr>
              <w:rFonts w:hint="eastAsia" w:ascii="仿宋" w:hAnsi="仿宋" w:eastAsia="仿宋" w:cs="仿宋"/>
              <w:sz w:val="28"/>
              <w:szCs w:val="28"/>
            </w:rPr>
            <w:t>3.对标最优、推动共享</w:t>
          </w:r>
        </w:sdtContent>
      </w:sdt>
      <w:r>
        <w:rPr>
          <w:rFonts w:hint="eastAsia" w:hAnsi="仿宋" w:eastAsia="仿宋" w:cs="仿宋" w:asciiTheme="majorAscii"/>
          <w:sz w:val="28"/>
          <w:szCs w:val="28"/>
        </w:rPr>
        <w:tab/>
      </w:r>
      <w:r>
        <w:rPr>
          <w:rFonts w:hint="eastAsia" w:hAnsi="仿宋" w:eastAsia="仿宋" w:cs="仿宋" w:asciiTheme="majorAscii"/>
          <w:sz w:val="28"/>
          <w:szCs w:val="28"/>
        </w:rPr>
        <w:t>10</w:t>
      </w:r>
      <w:r>
        <w:rPr>
          <w:rFonts w:hint="eastAsia" w:hAnsi="仿宋" w:eastAsia="仿宋" w:cs="仿宋" w:asciiTheme="majorAscii"/>
          <w:sz w:val="28"/>
          <w:szCs w:val="28"/>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line="480" w:lineRule="exact"/>
        <w:ind w:left="840" w:leftChars="400" w:firstLine="0" w:firstLineChars="0"/>
        <w:textAlignment w:val="auto"/>
        <w:rPr>
          <w:rFonts w:hint="eastAsia" w:hAnsi="仿宋" w:eastAsia="仿宋" w:cs="仿宋" w:asciiTheme="majorAscii"/>
          <w:sz w:val="28"/>
          <w:szCs w:val="28"/>
        </w:rPr>
      </w:pPr>
      <w:r>
        <w:rPr>
          <w:rFonts w:hint="eastAsia" w:hAnsi="仿宋" w:eastAsia="仿宋" w:cs="仿宋" w:asciiTheme="majorAscii"/>
          <w:sz w:val="28"/>
          <w:szCs w:val="28"/>
        </w:rPr>
        <w:fldChar w:fldCharType="begin"/>
      </w:r>
      <w:r>
        <w:rPr>
          <w:rFonts w:hint="eastAsia" w:hAnsi="仿宋" w:eastAsia="仿宋" w:cs="仿宋" w:asciiTheme="majorAscii"/>
          <w:sz w:val="28"/>
          <w:szCs w:val="28"/>
        </w:rPr>
        <w:instrText xml:space="preserve"> HYPERLINK \l _Toc24505_WPSOffice_Level3 </w:instrText>
      </w:r>
      <w:r>
        <w:rPr>
          <w:rFonts w:hint="eastAsia" w:hAnsi="仿宋" w:eastAsia="仿宋" w:cs="仿宋" w:asciiTheme="majorAscii"/>
          <w:sz w:val="28"/>
          <w:szCs w:val="28"/>
        </w:rPr>
        <w:fldChar w:fldCharType="separate"/>
      </w:r>
      <w:sdt>
        <w:sdtPr>
          <w:rPr>
            <w:rFonts w:hint="eastAsia" w:ascii="仿宋" w:hAnsi="仿宋" w:eastAsia="仿宋" w:cs="仿宋"/>
            <w:b/>
            <w:kern w:val="44"/>
            <w:sz w:val="28"/>
            <w:szCs w:val="28"/>
            <w:lang w:val="en-US" w:eastAsia="zh-CN" w:bidi="ar-SA"/>
          </w:rPr>
          <w:id w:val="147452728"/>
          <w:placeholder>
            <w:docPart w:val="{e296db99-a40b-42ae-9dab-c3438fff3a05}"/>
          </w:placeholder>
        </w:sdtPr>
        <w:sdtEndPr>
          <w:rPr>
            <w:rFonts w:hint="eastAsia" w:hAnsi="仿宋" w:eastAsia="仿宋" w:cs="仿宋" w:asciiTheme="majorAscii"/>
            <w:b/>
            <w:kern w:val="44"/>
            <w:sz w:val="28"/>
            <w:szCs w:val="28"/>
            <w:lang w:val="en-US" w:eastAsia="zh-CN" w:bidi="ar-SA"/>
          </w:rPr>
        </w:sdtEndPr>
        <w:sdtContent>
          <w:r>
            <w:rPr>
              <w:rFonts w:hint="eastAsia" w:ascii="仿宋" w:hAnsi="仿宋" w:eastAsia="仿宋" w:cs="仿宋"/>
              <w:sz w:val="28"/>
              <w:szCs w:val="28"/>
            </w:rPr>
            <w:t>4.政府主导、社会参与</w:t>
          </w:r>
        </w:sdtContent>
      </w:sdt>
      <w:r>
        <w:rPr>
          <w:rFonts w:hint="eastAsia" w:hAnsi="仿宋" w:eastAsia="仿宋" w:cs="仿宋" w:asciiTheme="majorAscii"/>
          <w:sz w:val="28"/>
          <w:szCs w:val="28"/>
        </w:rPr>
        <w:tab/>
      </w:r>
      <w:r>
        <w:rPr>
          <w:rFonts w:hint="eastAsia" w:hAnsi="仿宋" w:eastAsia="仿宋" w:cs="仿宋" w:asciiTheme="majorAscii"/>
          <w:sz w:val="28"/>
          <w:szCs w:val="28"/>
        </w:rPr>
        <w:t>10</w:t>
      </w:r>
      <w:r>
        <w:rPr>
          <w:rFonts w:hint="eastAsia" w:hAnsi="仿宋" w:eastAsia="仿宋" w:cs="仿宋" w:asciiTheme="majorAscii"/>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840" w:leftChars="400" w:firstLine="0" w:firstLineChars="0"/>
        <w:textAlignment w:val="auto"/>
        <w:rPr>
          <w:rFonts w:hint="eastAsia" w:hAnsi="仿宋" w:eastAsia="仿宋" w:cs="仿宋" w:asciiTheme="majorAscii"/>
          <w:sz w:val="28"/>
          <w:szCs w:val="28"/>
          <w:lang w:val="en-US" w:eastAsia="zh-CN"/>
        </w:rPr>
      </w:pPr>
      <w:r>
        <w:rPr>
          <w:rFonts w:hint="eastAsia" w:hAnsi="仿宋" w:eastAsia="仿宋" w:cs="仿宋" w:asciiTheme="majorAscii"/>
          <w:sz w:val="28"/>
          <w:szCs w:val="28"/>
        </w:rPr>
        <w:fldChar w:fldCharType="begin"/>
      </w:r>
      <w:r>
        <w:rPr>
          <w:rFonts w:hint="eastAsia" w:hAnsi="仿宋" w:eastAsia="仿宋" w:cs="仿宋" w:asciiTheme="majorAscii"/>
          <w:sz w:val="28"/>
          <w:szCs w:val="28"/>
        </w:rPr>
        <w:instrText xml:space="preserve"> HYPERLINK \l _Toc16315_WPSOffice_Level3 </w:instrText>
      </w:r>
      <w:r>
        <w:rPr>
          <w:rFonts w:hint="eastAsia" w:hAnsi="仿宋" w:eastAsia="仿宋" w:cs="仿宋" w:asciiTheme="majorAscii"/>
          <w:sz w:val="28"/>
          <w:szCs w:val="28"/>
        </w:rPr>
        <w:fldChar w:fldCharType="separate"/>
      </w:r>
      <w:sdt>
        <w:sdtPr>
          <w:rPr>
            <w:rFonts w:hint="eastAsia" w:ascii="仿宋" w:hAnsi="仿宋" w:eastAsia="仿宋" w:cs="仿宋"/>
            <w:b/>
            <w:kern w:val="44"/>
            <w:sz w:val="28"/>
            <w:szCs w:val="28"/>
            <w:lang w:val="en-US" w:eastAsia="zh-CN" w:bidi="ar-SA"/>
          </w:rPr>
          <w:id w:val="147452728"/>
          <w:placeholder>
            <w:docPart w:val="{ac1d7ed8-ee34-4c60-a528-9caca059b918}"/>
          </w:placeholder>
        </w:sdtPr>
        <w:sdtEndPr>
          <w:rPr>
            <w:rFonts w:hint="eastAsia" w:ascii="仿宋" w:hAnsi="仿宋" w:eastAsia="仿宋" w:cs="仿宋"/>
            <w:b/>
            <w:kern w:val="44"/>
            <w:sz w:val="28"/>
            <w:szCs w:val="28"/>
            <w:lang w:val="en-US" w:eastAsia="zh-CN" w:bidi="ar-SA"/>
          </w:rPr>
        </w:sdtEndPr>
        <w:sdtContent>
          <w:r>
            <w:rPr>
              <w:rFonts w:hint="eastAsia" w:ascii="仿宋" w:hAnsi="仿宋" w:eastAsia="仿宋" w:cs="仿宋"/>
              <w:sz w:val="28"/>
              <w:szCs w:val="28"/>
            </w:rPr>
            <w:t>5.先行先试，引领示范</w:t>
          </w:r>
        </w:sdtContent>
      </w:sdt>
      <w:r>
        <w:rPr>
          <w:rFonts w:hint="eastAsia" w:hAnsi="仿宋" w:eastAsia="仿宋" w:cs="仿宋" w:asciiTheme="majorAscii"/>
          <w:sz w:val="28"/>
          <w:szCs w:val="28"/>
        </w:rPr>
        <w:tab/>
      </w:r>
      <w:r>
        <w:rPr>
          <w:rFonts w:hint="eastAsia" w:hAnsi="仿宋" w:eastAsia="仿宋" w:cs="仿宋" w:asciiTheme="majorAscii"/>
          <w:sz w:val="28"/>
          <w:szCs w:val="28"/>
        </w:rPr>
        <w:t>1</w:t>
      </w:r>
      <w:r>
        <w:rPr>
          <w:rFonts w:hint="eastAsia" w:hAnsi="仿宋" w:eastAsia="仿宋" w:cs="仿宋" w:asciiTheme="majorAscii"/>
          <w:sz w:val="28"/>
          <w:szCs w:val="28"/>
          <w:lang w:val="en-US" w:eastAsia="zh-CN"/>
        </w:rPr>
        <w:t>0</w:t>
      </w:r>
      <w:r>
        <w:rPr>
          <w:rFonts w:hint="eastAsia" w:hAnsi="仿宋" w:eastAsia="仿宋" w:cs="仿宋" w:asciiTheme="majorAscii"/>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_Toc30475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（三）发展目标</w:t>
      </w:r>
      <w:r>
        <w:rPr>
          <w:rFonts w:hint="eastAsia" w:asciiTheme="majorEastAsia" w:hAnsiTheme="majorEastAsia" w:eastAsiaTheme="majorEastAsia" w:cstheme="majorEastAsia"/>
          <w:sz w:val="28"/>
          <w:szCs w:val="28"/>
          <w:lang w:val="en-US" w:eastAsia="zh-CN"/>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1</w:t>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hAnsi="仿宋" w:eastAsia="仿宋" w:cs="仿宋" w:asciiTheme="majorAscii"/>
          <w:sz w:val="28"/>
          <w:szCs w:val="28"/>
        </w:rPr>
      </w:pPr>
      <w:r>
        <w:rPr>
          <w:rFonts w:hint="eastAsia" w:hAnsi="仿宋" w:eastAsia="仿宋" w:cs="仿宋" w:asciiTheme="majorAscii"/>
          <w:sz w:val="28"/>
          <w:szCs w:val="28"/>
        </w:rPr>
        <w:fldChar w:fldCharType="begin"/>
      </w:r>
      <w:r>
        <w:rPr>
          <w:rFonts w:hint="eastAsia" w:hAnsi="仿宋" w:eastAsia="仿宋" w:cs="仿宋" w:asciiTheme="majorAscii"/>
          <w:sz w:val="28"/>
          <w:szCs w:val="28"/>
        </w:rPr>
        <w:instrText xml:space="preserve"> HYPERLINK \l _Toc13862_WPSOffice_Level3 </w:instrText>
      </w:r>
      <w:r>
        <w:rPr>
          <w:rFonts w:hint="eastAsia" w:hAnsi="仿宋" w:eastAsia="仿宋" w:cs="仿宋" w:asciiTheme="majorAscii"/>
          <w:sz w:val="28"/>
          <w:szCs w:val="28"/>
        </w:rPr>
        <w:fldChar w:fldCharType="separate"/>
      </w:r>
      <w:sdt>
        <w:sdtPr>
          <w:rPr>
            <w:rFonts w:hint="eastAsia" w:ascii="仿宋" w:hAnsi="仿宋" w:eastAsia="仿宋" w:cs="仿宋"/>
            <w:b/>
            <w:kern w:val="44"/>
            <w:sz w:val="28"/>
            <w:szCs w:val="28"/>
            <w:lang w:val="en-US" w:eastAsia="zh-CN" w:bidi="ar-SA"/>
          </w:rPr>
          <w:id w:val="147452728"/>
          <w:placeholder>
            <w:docPart w:val="{6196d8a4-1c68-4f7a-819c-d449e0667be1}"/>
          </w:placeholder>
        </w:sdtPr>
        <w:sdtEndPr>
          <w:rPr>
            <w:rFonts w:hint="eastAsia" w:hAnsi="仿宋" w:eastAsia="仿宋" w:cs="仿宋" w:asciiTheme="majorAscii"/>
            <w:b/>
            <w:kern w:val="44"/>
            <w:sz w:val="28"/>
            <w:szCs w:val="28"/>
            <w:lang w:val="en-US" w:eastAsia="zh-CN" w:bidi="ar-SA"/>
          </w:rPr>
        </w:sdtEndPr>
        <w:sdtContent>
          <w:r>
            <w:rPr>
              <w:rFonts w:hint="eastAsia" w:ascii="仿宋" w:hAnsi="仿宋" w:eastAsia="仿宋" w:cs="仿宋"/>
              <w:sz w:val="28"/>
              <w:szCs w:val="28"/>
            </w:rPr>
            <w:t>1.城乡居民健康水平进一步完善</w:t>
          </w:r>
        </w:sdtContent>
      </w:sdt>
      <w:r>
        <w:rPr>
          <w:rFonts w:hint="eastAsia" w:hAnsi="仿宋" w:eastAsia="仿宋" w:cs="仿宋" w:asciiTheme="majorAscii"/>
          <w:sz w:val="28"/>
          <w:szCs w:val="28"/>
        </w:rPr>
        <w:tab/>
      </w:r>
      <w:r>
        <w:rPr>
          <w:rFonts w:hint="eastAsia" w:hAnsi="仿宋" w:eastAsia="仿宋" w:cs="仿宋" w:asciiTheme="majorAscii"/>
          <w:sz w:val="28"/>
          <w:szCs w:val="28"/>
        </w:rPr>
        <w:t>11</w:t>
      </w:r>
      <w:r>
        <w:rPr>
          <w:rFonts w:hint="eastAsia" w:hAnsi="仿宋" w:eastAsia="仿宋" w:cs="仿宋" w:asciiTheme="majorAscii"/>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hAnsi="仿宋" w:eastAsia="仿宋" w:cs="仿宋" w:asciiTheme="majorAscii"/>
          <w:sz w:val="28"/>
          <w:szCs w:val="28"/>
        </w:rPr>
      </w:pPr>
      <w:r>
        <w:rPr>
          <w:rFonts w:hint="eastAsia" w:hAnsi="仿宋" w:eastAsia="仿宋" w:cs="仿宋" w:asciiTheme="majorAscii"/>
          <w:sz w:val="28"/>
          <w:szCs w:val="28"/>
        </w:rPr>
        <w:fldChar w:fldCharType="begin"/>
      </w:r>
      <w:r>
        <w:rPr>
          <w:rFonts w:hint="eastAsia" w:hAnsi="仿宋" w:eastAsia="仿宋" w:cs="仿宋" w:asciiTheme="majorAscii"/>
          <w:sz w:val="28"/>
          <w:szCs w:val="28"/>
        </w:rPr>
        <w:instrText xml:space="preserve"> HYPERLINK \l _Toc11713_WPSOffice_Level3 </w:instrText>
      </w:r>
      <w:r>
        <w:rPr>
          <w:rFonts w:hint="eastAsia" w:hAnsi="仿宋" w:eastAsia="仿宋" w:cs="仿宋" w:asciiTheme="majorAscii"/>
          <w:sz w:val="28"/>
          <w:szCs w:val="28"/>
        </w:rPr>
        <w:fldChar w:fldCharType="separate"/>
      </w:r>
      <w:sdt>
        <w:sdtPr>
          <w:rPr>
            <w:rFonts w:hint="eastAsia" w:ascii="仿宋" w:hAnsi="仿宋" w:eastAsia="仿宋" w:cs="仿宋"/>
            <w:b/>
            <w:kern w:val="44"/>
            <w:sz w:val="28"/>
            <w:szCs w:val="28"/>
            <w:lang w:val="en-US" w:eastAsia="zh-CN" w:bidi="ar-SA"/>
          </w:rPr>
          <w:id w:val="147452728"/>
          <w:placeholder>
            <w:docPart w:val="{42f8b737-81bb-470d-85cd-ade0aa7fc8c9}"/>
          </w:placeholder>
        </w:sdtPr>
        <w:sdtEndPr>
          <w:rPr>
            <w:rFonts w:hint="eastAsia" w:hAnsi="仿宋" w:eastAsia="仿宋" w:cs="仿宋" w:asciiTheme="majorAscii"/>
            <w:b/>
            <w:kern w:val="44"/>
            <w:sz w:val="28"/>
            <w:szCs w:val="28"/>
            <w:lang w:val="en-US" w:eastAsia="zh-CN" w:bidi="ar-SA"/>
          </w:rPr>
        </w:sdtEndPr>
        <w:sdtContent>
          <w:r>
            <w:rPr>
              <w:rFonts w:hint="eastAsia" w:ascii="仿宋" w:hAnsi="仿宋" w:eastAsia="仿宋" w:cs="仿宋"/>
              <w:sz w:val="28"/>
              <w:szCs w:val="28"/>
            </w:rPr>
            <w:t>2.基本医疗卫生制度体系更加成熟定型</w:t>
          </w:r>
        </w:sdtContent>
      </w:sdt>
      <w:r>
        <w:rPr>
          <w:rFonts w:hint="eastAsia" w:hAnsi="仿宋" w:eastAsia="仿宋" w:cs="仿宋" w:asciiTheme="majorAscii"/>
          <w:sz w:val="28"/>
          <w:szCs w:val="28"/>
        </w:rPr>
        <w:tab/>
      </w:r>
      <w:r>
        <w:rPr>
          <w:rFonts w:hint="eastAsia" w:hAnsi="仿宋" w:eastAsia="仿宋" w:cs="仿宋" w:asciiTheme="majorAscii"/>
          <w:sz w:val="28"/>
          <w:szCs w:val="28"/>
        </w:rPr>
        <w:t>11</w:t>
      </w:r>
      <w:r>
        <w:rPr>
          <w:rFonts w:hint="eastAsia" w:hAnsi="仿宋" w:eastAsia="仿宋" w:cs="仿宋" w:asciiTheme="majorAscii"/>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hAnsi="仿宋" w:eastAsia="仿宋" w:cs="仿宋" w:asciiTheme="majorAscii"/>
          <w:sz w:val="28"/>
          <w:szCs w:val="28"/>
        </w:rPr>
      </w:pPr>
      <w:r>
        <w:rPr>
          <w:rFonts w:hint="eastAsia" w:hAnsi="仿宋" w:eastAsia="仿宋" w:cs="仿宋" w:asciiTheme="majorAscii"/>
          <w:sz w:val="28"/>
          <w:szCs w:val="28"/>
        </w:rPr>
        <w:fldChar w:fldCharType="begin"/>
      </w:r>
      <w:r>
        <w:rPr>
          <w:rFonts w:hint="eastAsia" w:hAnsi="仿宋" w:eastAsia="仿宋" w:cs="仿宋" w:asciiTheme="majorAscii"/>
          <w:sz w:val="28"/>
          <w:szCs w:val="28"/>
        </w:rPr>
        <w:instrText xml:space="preserve"> HYPERLINK \l _Toc7119_WPSOffice_Level3 </w:instrText>
      </w:r>
      <w:r>
        <w:rPr>
          <w:rFonts w:hint="eastAsia" w:hAnsi="仿宋" w:eastAsia="仿宋" w:cs="仿宋" w:asciiTheme="majorAscii"/>
          <w:sz w:val="28"/>
          <w:szCs w:val="28"/>
        </w:rPr>
        <w:fldChar w:fldCharType="separate"/>
      </w:r>
      <w:sdt>
        <w:sdtPr>
          <w:rPr>
            <w:rFonts w:hint="eastAsia" w:ascii="仿宋" w:hAnsi="仿宋" w:eastAsia="仿宋" w:cs="仿宋"/>
            <w:b/>
            <w:kern w:val="44"/>
            <w:sz w:val="28"/>
            <w:szCs w:val="28"/>
            <w:lang w:val="en-US" w:eastAsia="zh-CN" w:bidi="ar-SA"/>
          </w:rPr>
          <w:id w:val="147452728"/>
          <w:placeholder>
            <w:docPart w:val="{0f34c781-def0-4d7d-a2ce-10dff8bd037b}"/>
          </w:placeholder>
        </w:sdtPr>
        <w:sdtEndPr>
          <w:rPr>
            <w:rFonts w:hint="eastAsia" w:hAnsi="仿宋" w:eastAsia="仿宋" w:cs="仿宋" w:asciiTheme="majorAscii"/>
            <w:b/>
            <w:kern w:val="44"/>
            <w:sz w:val="28"/>
            <w:szCs w:val="28"/>
            <w:lang w:val="en-US" w:eastAsia="zh-CN" w:bidi="ar-SA"/>
          </w:rPr>
        </w:sdtEndPr>
        <w:sdtContent>
          <w:r>
            <w:rPr>
              <w:rFonts w:hint="eastAsia" w:ascii="仿宋" w:hAnsi="仿宋" w:eastAsia="仿宋" w:cs="仿宋"/>
              <w:sz w:val="28"/>
              <w:szCs w:val="28"/>
            </w:rPr>
            <w:t>3.公共卫生安全保障能力显著增强</w:t>
          </w:r>
        </w:sdtContent>
      </w:sdt>
      <w:r>
        <w:rPr>
          <w:rFonts w:hint="eastAsia" w:hAnsi="仿宋" w:eastAsia="仿宋" w:cs="仿宋" w:asciiTheme="majorAscii"/>
          <w:sz w:val="28"/>
          <w:szCs w:val="28"/>
        </w:rPr>
        <w:tab/>
      </w:r>
      <w:r>
        <w:rPr>
          <w:rFonts w:hint="eastAsia" w:hAnsi="仿宋" w:eastAsia="仿宋" w:cs="仿宋" w:asciiTheme="majorAscii"/>
          <w:sz w:val="28"/>
          <w:szCs w:val="28"/>
        </w:rPr>
        <w:t>11</w:t>
      </w:r>
      <w:r>
        <w:rPr>
          <w:rFonts w:hint="eastAsia" w:hAnsi="仿宋" w:eastAsia="仿宋" w:cs="仿宋" w:asciiTheme="majorAscii"/>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hAnsi="仿宋" w:eastAsia="仿宋" w:cs="仿宋" w:asciiTheme="majorAscii"/>
          <w:sz w:val="28"/>
          <w:szCs w:val="28"/>
        </w:rPr>
      </w:pPr>
      <w:r>
        <w:rPr>
          <w:rFonts w:hint="eastAsia" w:hAnsi="仿宋" w:eastAsia="仿宋" w:cs="仿宋" w:asciiTheme="majorAscii"/>
          <w:sz w:val="28"/>
          <w:szCs w:val="28"/>
        </w:rPr>
        <w:fldChar w:fldCharType="begin"/>
      </w:r>
      <w:r>
        <w:rPr>
          <w:rFonts w:hint="eastAsia" w:hAnsi="仿宋" w:eastAsia="仿宋" w:cs="仿宋" w:asciiTheme="majorAscii"/>
          <w:sz w:val="28"/>
          <w:szCs w:val="28"/>
        </w:rPr>
        <w:instrText xml:space="preserve"> HYPERLINK \l _Toc25269_WPSOffice_Level3 </w:instrText>
      </w:r>
      <w:r>
        <w:rPr>
          <w:rFonts w:hint="eastAsia" w:hAnsi="仿宋" w:eastAsia="仿宋" w:cs="仿宋" w:asciiTheme="majorAscii"/>
          <w:sz w:val="28"/>
          <w:szCs w:val="28"/>
        </w:rPr>
        <w:fldChar w:fldCharType="separate"/>
      </w:r>
      <w:sdt>
        <w:sdtPr>
          <w:rPr>
            <w:rFonts w:hint="eastAsia" w:hAnsi="仿宋" w:eastAsia="仿宋" w:cs="仿宋" w:asciiTheme="majorAscii"/>
            <w:b/>
            <w:kern w:val="44"/>
            <w:sz w:val="28"/>
            <w:szCs w:val="28"/>
            <w:lang w:val="en-US" w:eastAsia="zh-CN" w:bidi="ar-SA"/>
          </w:rPr>
          <w:id w:val="147452728"/>
          <w:placeholder>
            <w:docPart w:val="{05458a6c-3e41-40bf-a0f4-9623e48e6463}"/>
          </w:placeholder>
        </w:sdtPr>
        <w:sdtEndPr>
          <w:rPr>
            <w:rFonts w:hint="eastAsia" w:hAnsi="仿宋" w:eastAsia="仿宋" w:cs="仿宋" w:asciiTheme="majorAscii"/>
            <w:b/>
            <w:kern w:val="44"/>
            <w:sz w:val="28"/>
            <w:szCs w:val="28"/>
            <w:lang w:val="en-US" w:eastAsia="zh-CN" w:bidi="ar-SA"/>
          </w:rPr>
        </w:sdtEndPr>
        <w:sdtContent>
          <w:r>
            <w:rPr>
              <w:rFonts w:hint="eastAsia" w:hAnsi="仿宋" w:eastAsia="仿宋" w:cs="仿宋" w:asciiTheme="majorAscii"/>
              <w:sz w:val="28"/>
              <w:szCs w:val="28"/>
            </w:rPr>
            <w:t>4</w:t>
          </w:r>
          <w:r>
            <w:rPr>
              <w:rFonts w:hint="eastAsia" w:ascii="仿宋" w:hAnsi="仿宋" w:eastAsia="仿宋" w:cs="仿宋"/>
              <w:sz w:val="28"/>
              <w:szCs w:val="28"/>
            </w:rPr>
            <w:t>.健康服务水平和质量大幅提升</w:t>
          </w:r>
        </w:sdtContent>
      </w:sdt>
      <w:r>
        <w:rPr>
          <w:rFonts w:hint="eastAsia" w:hAnsi="仿宋" w:eastAsia="仿宋" w:cs="仿宋" w:asciiTheme="majorAscii"/>
          <w:sz w:val="28"/>
          <w:szCs w:val="28"/>
        </w:rPr>
        <w:tab/>
      </w:r>
      <w:r>
        <w:rPr>
          <w:rFonts w:hint="eastAsia" w:hAnsi="仿宋" w:eastAsia="仿宋" w:cs="仿宋" w:asciiTheme="majorAscii"/>
          <w:sz w:val="28"/>
          <w:szCs w:val="28"/>
        </w:rPr>
        <w:t>11</w:t>
      </w:r>
      <w:r>
        <w:rPr>
          <w:rFonts w:hint="eastAsia" w:hAnsi="仿宋" w:eastAsia="仿宋" w:cs="仿宋" w:asciiTheme="majorAscii"/>
          <w:sz w:val="28"/>
          <w:szCs w:val="28"/>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hint="eastAsia" w:hAnsi="仿宋" w:eastAsia="仿宋" w:cs="仿宋" w:asciiTheme="majorAscii"/>
          <w:sz w:val="28"/>
          <w:szCs w:val="28"/>
        </w:rPr>
      </w:pPr>
      <w:r>
        <w:rPr>
          <w:rFonts w:hint="eastAsia" w:hAnsi="仿宋" w:eastAsia="仿宋" w:cs="仿宋" w:asciiTheme="majorAscii"/>
          <w:sz w:val="28"/>
          <w:szCs w:val="28"/>
        </w:rPr>
        <w:fldChar w:fldCharType="begin"/>
      </w:r>
      <w:r>
        <w:rPr>
          <w:rFonts w:hint="eastAsia" w:hAnsi="仿宋" w:eastAsia="仿宋" w:cs="仿宋" w:asciiTheme="majorAscii"/>
          <w:sz w:val="28"/>
          <w:szCs w:val="28"/>
        </w:rPr>
        <w:instrText xml:space="preserve"> HYPERLINK \l _Toc27587_WPSOffice_Level3 </w:instrText>
      </w:r>
      <w:r>
        <w:rPr>
          <w:rFonts w:hint="eastAsia" w:hAnsi="仿宋" w:eastAsia="仿宋" w:cs="仿宋" w:asciiTheme="majorAscii"/>
          <w:sz w:val="28"/>
          <w:szCs w:val="28"/>
        </w:rPr>
        <w:fldChar w:fldCharType="separate"/>
      </w:r>
      <w:sdt>
        <w:sdtPr>
          <w:rPr>
            <w:rFonts w:hint="eastAsia" w:ascii="仿宋" w:hAnsi="仿宋" w:eastAsia="仿宋" w:cs="仿宋"/>
            <w:b/>
            <w:kern w:val="44"/>
            <w:sz w:val="28"/>
            <w:szCs w:val="28"/>
            <w:lang w:val="en-US" w:eastAsia="zh-CN" w:bidi="ar-SA"/>
          </w:rPr>
          <w:id w:val="147452728"/>
          <w:placeholder>
            <w:docPart w:val="{6a89a505-e485-49c2-98f2-ad71a0c4724e}"/>
          </w:placeholder>
        </w:sdtPr>
        <w:sdtEndPr>
          <w:rPr>
            <w:rFonts w:hint="eastAsia" w:hAnsi="仿宋" w:eastAsia="仿宋" w:cs="仿宋" w:asciiTheme="majorAscii"/>
            <w:b/>
            <w:kern w:val="44"/>
            <w:sz w:val="28"/>
            <w:szCs w:val="28"/>
            <w:lang w:val="en-US" w:eastAsia="zh-CN" w:bidi="ar-SA"/>
          </w:rPr>
        </w:sdtEndPr>
        <w:sdtContent>
          <w:r>
            <w:rPr>
              <w:rFonts w:hint="eastAsia" w:ascii="仿宋" w:hAnsi="仿宋" w:eastAsia="仿宋" w:cs="仿宋"/>
              <w:sz w:val="28"/>
              <w:szCs w:val="28"/>
            </w:rPr>
            <w:t>5.健康科技创新能力明显增强</w:t>
          </w:r>
        </w:sdtContent>
      </w:sdt>
      <w:r>
        <w:rPr>
          <w:rFonts w:hint="eastAsia" w:hAnsi="仿宋" w:eastAsia="仿宋" w:cs="仿宋" w:asciiTheme="majorAscii"/>
          <w:sz w:val="28"/>
          <w:szCs w:val="28"/>
        </w:rPr>
        <w:tab/>
      </w:r>
      <w:r>
        <w:rPr>
          <w:rFonts w:hint="eastAsia" w:hAnsi="仿宋" w:eastAsia="仿宋" w:cs="仿宋" w:asciiTheme="majorAscii"/>
          <w:sz w:val="28"/>
          <w:szCs w:val="28"/>
        </w:rPr>
        <w:t>12</w:t>
      </w:r>
      <w:r>
        <w:rPr>
          <w:rFonts w:hint="eastAsia" w:hAnsi="仿宋" w:eastAsia="仿宋" w:cs="仿宋" w:asciiTheme="majorAscii"/>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_Toc253 </w:instrText>
      </w:r>
      <w:r>
        <w:rPr>
          <w:rFonts w:hint="eastAsia" w:asciiTheme="majorEastAsia" w:hAnsiTheme="majorEastAsia" w:eastAsiaTheme="majorEastAsia" w:cstheme="majorEastAsia"/>
          <w:sz w:val="28"/>
          <w:szCs w:val="28"/>
          <w:lang w:val="en-US" w:eastAsia="zh-CN"/>
        </w:rPr>
        <w:fldChar w:fldCharType="separate"/>
      </w:r>
      <w:r>
        <w:rPr>
          <w:rFonts w:hint="eastAsia" w:ascii="黑体" w:hAnsi="黑体" w:eastAsia="黑体" w:cs="黑体"/>
          <w:sz w:val="28"/>
          <w:szCs w:val="28"/>
          <w:lang w:val="en-US" w:eastAsia="zh-CN"/>
        </w:rPr>
        <w:t>三、主要任务</w:t>
      </w:r>
      <w:r>
        <w:rPr>
          <w:rFonts w:hint="eastAsia" w:asciiTheme="majorEastAsia" w:hAnsiTheme="majorEastAsia" w:eastAsiaTheme="majorEastAsia" w:cstheme="majorEastAsia"/>
          <w:sz w:val="28"/>
          <w:szCs w:val="28"/>
          <w:lang w:val="en-US" w:eastAsia="zh-CN"/>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_Toc10870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（一）建立健全医疗卫生服务体系</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_Toc16205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1.提升县级医疗服务能力</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_Toc22392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2.强化县级医院县域龙头作用</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4</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_Toc11158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3.巩固基层医疗卫生服务能力</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4</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_Toc14158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4.改善优化医疗卫生服务</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4</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_Toc8730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（二）持续深化医药卫生体制改革</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5</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_Toc1354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1.建立完善分级诊疗制度</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5</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_Toc18612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2.推动公立医院高质量发展</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_Toc28792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3.推进医疗保障和医药服务协同改革</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_Toc14419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4.完善药品供应保障制度</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7</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_Toc9154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5.强化医疗卫生行业综合监管</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8</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_Toc22309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（三）织牢公共卫生防护网</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8</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_Toc24537 </w:instrText>
      </w:r>
      <w:r>
        <w:rPr>
          <w:rFonts w:hint="eastAsia" w:hAnsi="仿宋" w:eastAsia="仿宋" w:cs="仿宋" w:asciiTheme="majorAscii"/>
          <w:sz w:val="28"/>
          <w:szCs w:val="28"/>
          <w:lang w:val="en-US" w:eastAsia="zh-CN"/>
        </w:rPr>
        <w:fldChar w:fldCharType="separate"/>
      </w:r>
      <w:r>
        <w:rPr>
          <w:rFonts w:hint="eastAsia" w:hAnsi="仿宋" w:eastAsia="仿宋" w:cs="仿宋" w:asciiTheme="majorAscii"/>
          <w:sz w:val="28"/>
          <w:szCs w:val="28"/>
          <w:lang w:val="en-US" w:eastAsia="zh-CN"/>
        </w:rPr>
        <w:t>1.推进疾控体系现代化建设</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8</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_Toc4431 </w:instrText>
      </w:r>
      <w:r>
        <w:rPr>
          <w:rFonts w:hint="eastAsia" w:hAnsi="仿宋" w:eastAsia="仿宋" w:cs="仿宋" w:asciiTheme="majorAscii"/>
          <w:sz w:val="28"/>
          <w:szCs w:val="28"/>
          <w:lang w:val="en-US" w:eastAsia="zh-CN"/>
        </w:rPr>
        <w:fldChar w:fldCharType="separate"/>
      </w:r>
      <w:r>
        <w:rPr>
          <w:rFonts w:hint="eastAsia" w:hAnsi="仿宋" w:eastAsia="仿宋" w:cs="仿宋" w:asciiTheme="majorAscii"/>
          <w:sz w:val="28"/>
          <w:szCs w:val="28"/>
          <w:lang w:val="en-US" w:eastAsia="zh-CN"/>
        </w:rPr>
        <w:t>2.推进卫生应急管理体系和能力现代化</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1</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9</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_Toc15784 </w:instrText>
      </w:r>
      <w:r>
        <w:rPr>
          <w:rFonts w:hint="eastAsia" w:hAnsi="仿宋" w:eastAsia="仿宋" w:cs="仿宋" w:asciiTheme="majorAscii"/>
          <w:sz w:val="28"/>
          <w:szCs w:val="28"/>
          <w:lang w:val="en-US" w:eastAsia="zh-CN"/>
        </w:rPr>
        <w:fldChar w:fldCharType="separate"/>
      </w:r>
      <w:r>
        <w:rPr>
          <w:rFonts w:hint="eastAsia" w:hAnsi="仿宋" w:eastAsia="仿宋" w:cs="仿宋" w:asciiTheme="majorAscii"/>
          <w:sz w:val="28"/>
          <w:szCs w:val="28"/>
          <w:lang w:val="en-US" w:eastAsia="zh-CN"/>
        </w:rPr>
        <w:t>3.健全重大疫情救治体系</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0</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_Toc19489 </w:instrText>
      </w:r>
      <w:r>
        <w:rPr>
          <w:rFonts w:hint="eastAsia" w:hAnsi="仿宋" w:eastAsia="仿宋" w:cs="仿宋" w:asciiTheme="majorAscii"/>
          <w:sz w:val="28"/>
          <w:szCs w:val="28"/>
          <w:lang w:val="en-US" w:eastAsia="zh-CN"/>
        </w:rPr>
        <w:fldChar w:fldCharType="separate"/>
      </w:r>
      <w:r>
        <w:rPr>
          <w:rFonts w:hint="eastAsia" w:hAnsi="仿宋" w:eastAsia="仿宋" w:cs="仿宋" w:asciiTheme="majorAscii"/>
          <w:sz w:val="28"/>
          <w:szCs w:val="28"/>
          <w:lang w:val="en-US" w:eastAsia="zh-CN"/>
        </w:rPr>
        <w:t>4.创新医防协同机制</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0</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_Toc9501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（四）强化重点疾病预防控制</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1</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_Toc4131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1.强化突发急性传染病防控</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1</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_Toc9104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2.加强重大传染病防控</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1</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_Toc2172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3.实施慢性病综合防控</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2</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_Toc26129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4.健全精神卫生和心理服务体系</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_Toc10868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5.强化免疫规划工作</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_Toc32604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6.巩固重点寄生虫病、地方病防治成果</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_Toc11808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（五）全方位干预主要健康因素</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4</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_Toc7756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1.深入开展爱国卫生运动</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4</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_Toc2441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2.强化食品安全和营养健康</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5</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_Toc16642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3.完善全民健身公共服务体系</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5</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_Toc27067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4.加强伤害预防与干预</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_Toc4629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5.加强健康促进与教育</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_Toc16804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6.推进基本公共卫生服务</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7</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_Toc18575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（六）保障人民生命周期健康</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8</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_Toc1205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1.强化生育政策配套衔接</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8</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_Toc26753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2.发展普惠托育服务体系</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9</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_Toc5011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3.加强妇幼健康服务体系建设</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2</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9</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_Toc29036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4.加强职业健康保护</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31</w:t>
      </w:r>
      <w:r>
        <w:rPr>
          <w:rFonts w:hint="eastAsia" w:hAnsi="仿宋" w:eastAsia="仿宋" w:cs="仿宋" w:asciiTheme="majorAscii"/>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_Toc21349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5.促进老年健康服务</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1</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_Toc12508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6.促进残疾人健康</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2</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_Toc27778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（七）促进中医药传承创新发展</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_Toc25312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1.建设优质高效中医药服务体系</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_Toc21380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2.促进中医药传承创新发展</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_Toc22346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3.提升基层中医药服务能力</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_Toc6163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（八）大力发展健康产业</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4</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_Toc18903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1.鼓励社会办医</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4</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_Toc3810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2.深入推进医养融合发展</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5</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_Toc19630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3.积极发展多样化健康服务</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5</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_Toc22705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（九）完善卫生健康发展保障体系</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_Toc24546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1.加强卫生健康人才队伍建设</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36</w:t>
      </w:r>
      <w:r>
        <w:rPr>
          <w:rFonts w:hint="eastAsia" w:hAnsi="仿宋" w:eastAsia="仿宋" w:cs="仿宋" w:asciiTheme="majorAscii"/>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_Toc5719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2.大力实施智慧健康行动</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firstLine="560" w:firstLineChars="200"/>
        <w:textAlignment w:val="auto"/>
        <w:rPr>
          <w:rFonts w:hint="eastAsia" w:hAnsi="仿宋" w:eastAsia="仿宋" w:cs="仿宋" w:asciiTheme="majorAscii"/>
          <w:sz w:val="28"/>
          <w:szCs w:val="28"/>
          <w:lang w:val="en-US" w:eastAsia="zh-CN"/>
        </w:rPr>
      </w:pPr>
      <w:r>
        <w:rPr>
          <w:rFonts w:hint="eastAsia" w:hAnsi="仿宋" w:eastAsia="仿宋" w:cs="仿宋" w:asciiTheme="majorAscii"/>
          <w:sz w:val="28"/>
          <w:szCs w:val="28"/>
          <w:lang w:val="en-US" w:eastAsia="zh-CN"/>
        </w:rPr>
        <w:fldChar w:fldCharType="begin"/>
      </w:r>
      <w:r>
        <w:rPr>
          <w:rFonts w:hint="eastAsia" w:hAnsi="仿宋" w:eastAsia="仿宋" w:cs="仿宋" w:asciiTheme="majorAscii"/>
          <w:sz w:val="28"/>
          <w:szCs w:val="28"/>
          <w:lang w:val="en-US" w:eastAsia="zh-CN"/>
        </w:rPr>
        <w:instrText xml:space="preserve"> HYPERLINK \l _Toc26059 </w:instrText>
      </w:r>
      <w:r>
        <w:rPr>
          <w:rFonts w:hint="eastAsia" w:hAnsi="仿宋" w:eastAsia="仿宋" w:cs="仿宋" w:asciiTheme="majorAscii"/>
          <w:sz w:val="28"/>
          <w:szCs w:val="28"/>
          <w:lang w:val="en-US" w:eastAsia="zh-CN"/>
        </w:rPr>
        <w:fldChar w:fldCharType="separate"/>
      </w:r>
      <w:r>
        <w:rPr>
          <w:rFonts w:hint="eastAsia" w:ascii="仿宋" w:hAnsi="仿宋" w:eastAsia="仿宋" w:cs="仿宋"/>
          <w:sz w:val="28"/>
          <w:szCs w:val="28"/>
          <w:lang w:val="en-US" w:eastAsia="zh-CN"/>
        </w:rPr>
        <w:t>3.加强卫生健康法治建设</w:t>
      </w:r>
      <w:r>
        <w:rPr>
          <w:rFonts w:hint="eastAsia" w:hAnsi="仿宋" w:eastAsia="仿宋" w:cs="仿宋" w:asciiTheme="majorAscii"/>
          <w:sz w:val="28"/>
          <w:szCs w:val="28"/>
        </w:rPr>
        <w:tab/>
      </w:r>
      <w:r>
        <w:rPr>
          <w:rFonts w:hint="eastAsia" w:hAnsi="仿宋" w:eastAsia="仿宋" w:cs="仿宋" w:asciiTheme="majorAscii"/>
          <w:sz w:val="28"/>
          <w:szCs w:val="28"/>
          <w:lang w:val="en-US" w:eastAsia="zh-CN"/>
        </w:rPr>
        <w:t>3</w:t>
      </w:r>
      <w:r>
        <w:rPr>
          <w:rFonts w:hint="eastAsia" w:hAnsi="仿宋" w:eastAsia="仿宋" w:cs="仿宋" w:asciiTheme="majorAscii"/>
          <w:sz w:val="28"/>
          <w:szCs w:val="28"/>
          <w:lang w:val="en-US" w:eastAsia="zh-CN"/>
        </w:rPr>
        <w:fldChar w:fldCharType="end"/>
      </w:r>
      <w:r>
        <w:rPr>
          <w:rFonts w:hint="eastAsia" w:hAnsi="仿宋" w:eastAsia="仿宋" w:cs="仿宋" w:asciiTheme="majorAscii"/>
          <w:sz w:val="28"/>
          <w:szCs w:val="28"/>
          <w:lang w:val="en-US" w:eastAsia="zh-CN"/>
        </w:rPr>
        <w:t>7</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_Toc23073 </w:instrText>
      </w:r>
      <w:r>
        <w:rPr>
          <w:rFonts w:hint="eastAsia" w:asciiTheme="majorEastAsia" w:hAnsiTheme="majorEastAsia" w:eastAsiaTheme="majorEastAsia" w:cstheme="majorEastAsia"/>
          <w:sz w:val="28"/>
          <w:szCs w:val="28"/>
          <w:lang w:val="en-US" w:eastAsia="zh-CN"/>
        </w:rPr>
        <w:fldChar w:fldCharType="separate"/>
      </w:r>
      <w:r>
        <w:rPr>
          <w:rFonts w:hint="eastAsia" w:ascii="黑体" w:hAnsi="黑体" w:eastAsia="黑体" w:cs="黑体"/>
          <w:sz w:val="28"/>
          <w:szCs w:val="28"/>
          <w:lang w:val="en-US" w:eastAsia="zh-CN"/>
        </w:rPr>
        <w:t>四、保障措施</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8</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_Toc25470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（一)加强组织领导</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8</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_Toc10493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（二）加大投入力度</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8</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_Toc13738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（三)强化监督评估</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8</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420" w:leftChars="200"/>
        <w:textAlignment w:val="auto"/>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HYPERLINK \l _Toc12889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（四)加强宣传引导</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9</w:t>
      </w:r>
    </w:p>
    <w:p>
      <w:pPr>
        <w:pStyle w:val="3"/>
        <w:tabs>
          <w:tab w:val="left" w:pos="7770"/>
        </w:tabs>
        <w:jc w:val="distribute"/>
        <w:rPr>
          <w:rFonts w:hint="eastAsia"/>
        </w:rPr>
      </w:pPr>
    </w:p>
    <w:p>
      <w:pPr>
        <w:pStyle w:val="4"/>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36"/>
          <w:szCs w:val="36"/>
        </w:rPr>
        <w:sectPr>
          <w:footerReference r:id="rId4" w:type="default"/>
          <w:pgSz w:w="11906" w:h="16838"/>
          <w:pgMar w:top="1440" w:right="1800" w:bottom="1440" w:left="1800" w:header="851" w:footer="992" w:gutter="0"/>
          <w:pgNumType w:fmt="upperRoman" w:start="1"/>
          <w:cols w:space="425" w:num="1"/>
          <w:docGrid w:type="lines" w:linePitch="312" w:charSpace="0"/>
        </w:sectPr>
      </w:pPr>
      <w:bookmarkStart w:id="0" w:name="_Toc8061_WPSOffice_Level1"/>
    </w:p>
    <w:p>
      <w:pPr>
        <w:pStyle w:val="4"/>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饶平县卫生健康事业发展“十四五”规划</w:t>
      </w:r>
      <w:bookmarkEnd w:id="0"/>
    </w:p>
    <w:p>
      <w:pPr>
        <w:pStyle w:val="4"/>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32"/>
          <w:szCs w:val="32"/>
        </w:rPr>
      </w:pPr>
      <w:bookmarkStart w:id="1" w:name="_Toc12813_WPSOffice_Level1"/>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征求意见</w:t>
      </w:r>
      <w:r>
        <w:rPr>
          <w:rFonts w:hint="eastAsia" w:ascii="黑体" w:hAnsi="黑体" w:eastAsia="黑体" w:cs="黑体"/>
          <w:b w:val="0"/>
          <w:bCs/>
          <w:sz w:val="32"/>
          <w:szCs w:val="32"/>
        </w:rPr>
        <w:t>稿）</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为推动全县卫生健康事业高质量发展，根据《广东省卫</w:t>
      </w:r>
      <w:bookmarkStart w:id="87" w:name="_GoBack"/>
      <w:bookmarkEnd w:id="87"/>
      <w:r>
        <w:rPr>
          <w:rFonts w:hint="eastAsia" w:ascii="仿宋" w:hAnsi="仿宋" w:eastAsia="仿宋" w:cs="仿宋"/>
          <w:sz w:val="32"/>
          <w:szCs w:val="32"/>
          <w:lang w:val="en-US" w:eastAsia="zh-CN"/>
        </w:rPr>
        <w:t>生健康事业发展“十四五”规划》《潮州市卫生健康事业发展“十四五”规划》《饶平县国民经济和社会发展第十四个五年规划和2035年远景目标纲要》，结合我县实际制定本规划，规划期限为2021至2025年，远期展望至2035年。</w:t>
      </w:r>
    </w:p>
    <w:p>
      <w:pPr>
        <w:pStyle w:val="5"/>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line="560" w:lineRule="exact"/>
        <w:ind w:leftChars="0" w:firstLine="643" w:firstLineChars="200"/>
        <w:textAlignment w:val="auto"/>
        <w:rPr>
          <w:rFonts w:hint="eastAsia"/>
          <w:sz w:val="32"/>
          <w:szCs w:val="32"/>
          <w:lang w:val="en-US" w:eastAsia="zh-CN"/>
        </w:rPr>
      </w:pPr>
      <w:bookmarkStart w:id="2" w:name="_Toc27912_WPSOffice_Level1"/>
      <w:r>
        <w:rPr>
          <w:rFonts w:hint="eastAsia"/>
          <w:sz w:val="32"/>
          <w:szCs w:val="32"/>
          <w:lang w:val="en-US" w:eastAsia="zh-CN"/>
        </w:rPr>
        <w:t>一、规划背景</w:t>
      </w:r>
      <w:bookmarkEnd w:id="2"/>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3" w:name="_Toc12813_WPSOffice_Level2"/>
      <w:r>
        <w:rPr>
          <w:rFonts w:hint="eastAsia" w:asciiTheme="majorEastAsia" w:hAnsiTheme="majorEastAsia" w:eastAsiaTheme="majorEastAsia" w:cstheme="majorEastAsia"/>
          <w:b/>
          <w:bCs/>
          <w:sz w:val="32"/>
          <w:szCs w:val="32"/>
          <w:lang w:val="en-US" w:eastAsia="zh-CN"/>
        </w:rPr>
        <w:t>（一）基础现状</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五”期间，饶平县卫生健康系统坚决贯彻市委市政府和县委县政府决策部署，坚持把人民健康放在优先发展的战略地位，以推进健康饶平、卫生强县建设为引领，围绕“强基层、补短板、促医改、保健康”工作思路，稳步推进医药卫生体制改革，积极配置城乡医疗资源，不断完善医疗卫生服务体系建设，人民健康水平逐步提升，卫生健康事业稳健发展，城乡居民健康保障水平明显提高。</w:t>
      </w:r>
    </w:p>
    <w:p>
      <w:pPr>
        <w:pStyle w:val="5"/>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sz w:val="32"/>
          <w:szCs w:val="32"/>
          <w:lang w:val="en-US" w:eastAsia="zh-CN"/>
        </w:rPr>
      </w:pPr>
      <w:bookmarkStart w:id="4" w:name="_Toc12813_WPSOffice_Level3"/>
      <w:r>
        <w:rPr>
          <w:rFonts w:hint="eastAsia" w:ascii="仿宋" w:hAnsi="仿宋" w:eastAsia="仿宋" w:cs="仿宋"/>
          <w:sz w:val="32"/>
          <w:szCs w:val="32"/>
          <w:lang w:val="en-US" w:eastAsia="zh-CN"/>
        </w:rPr>
        <w:t>1.医疗卫生资源总量持续增加</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val="0"/>
          <w:bCs w:val="0"/>
          <w:color w:val="auto"/>
          <w:sz w:val="28"/>
          <w:szCs w:val="28"/>
          <w:highlight w:val="none"/>
          <w:shd w:val="clear" w:color="auto"/>
          <w:lang w:val="en-US" w:eastAsia="zh-CN"/>
        </w:rPr>
      </w:pPr>
      <w:r>
        <w:rPr>
          <w:rFonts w:hint="eastAsia" w:ascii="仿宋" w:hAnsi="仿宋" w:eastAsia="仿宋" w:cs="仿宋"/>
          <w:sz w:val="32"/>
          <w:szCs w:val="32"/>
          <w:lang w:val="en-US" w:eastAsia="zh-CN"/>
        </w:rPr>
        <w:t>饶平县区域内现有卫生资源相对薄弱，二级医疗机构数量较少且分布相对集中在县城区。到2020年全县医疗卫生机构</w:t>
      </w:r>
      <w:r>
        <w:rPr>
          <w:rFonts w:hint="eastAsia" w:ascii="仿宋" w:hAnsi="仿宋" w:eastAsia="仿宋" w:cs="仿宋"/>
          <w:color w:val="auto"/>
          <w:sz w:val="32"/>
          <w:szCs w:val="32"/>
          <w:shd w:val="clear" w:color="auto" w:fill="auto"/>
          <w:lang w:val="en-US" w:eastAsia="zh-CN"/>
        </w:rPr>
        <w:t>总数</w:t>
      </w:r>
      <w:r>
        <w:rPr>
          <w:rFonts w:hint="eastAsia" w:ascii="仿宋" w:hAnsi="仿宋" w:eastAsia="仿宋" w:cs="仿宋"/>
          <w:color w:val="auto"/>
          <w:sz w:val="32"/>
          <w:szCs w:val="32"/>
          <w:highlight w:val="none"/>
          <w:shd w:val="clear" w:color="auto"/>
          <w:lang w:val="en-US" w:eastAsia="zh-CN"/>
        </w:rPr>
        <w:t>33家；每千常住人口床位数1.23张、执业(助理）医师数1.51人、注册护士数1.23人</w:t>
      </w:r>
      <w:r>
        <w:rPr>
          <w:rFonts w:hint="eastAsia" w:ascii="仿宋" w:hAnsi="仿宋" w:eastAsia="仿宋" w:cs="仿宋"/>
          <w:sz w:val="32"/>
          <w:szCs w:val="32"/>
          <w:lang w:val="en-US" w:eastAsia="zh-CN"/>
        </w:rPr>
        <w:t>；每万常住人口全科医生数</w:t>
      </w:r>
      <w:r>
        <w:rPr>
          <w:rFonts w:hint="eastAsia" w:ascii="仿宋" w:hAnsi="仿宋" w:eastAsia="仿宋" w:cs="仿宋"/>
          <w:sz w:val="32"/>
          <w:szCs w:val="32"/>
          <w:highlight w:val="none"/>
          <w:lang w:val="en-US" w:eastAsia="zh-CN"/>
        </w:rPr>
        <w:t>2.02人。</w:t>
      </w:r>
      <w:r>
        <w:rPr>
          <w:rFonts w:hint="eastAsia" w:ascii="仿宋" w:hAnsi="仿宋" w:eastAsia="仿宋" w:cs="仿宋"/>
          <w:sz w:val="32"/>
          <w:szCs w:val="32"/>
          <w:lang w:val="en-US" w:eastAsia="zh-CN"/>
        </w:rPr>
        <w:t>推进人才引进工作取得初步突破，“十三五”期间，全县共新招聘首席专家2人服务基层，新增基层高级职称专业人才97名、订单定向医学生29名、直接认定基层副高级人才2名，共培训培养全科医生275名、农村订单定向培养130名，</w:t>
      </w:r>
      <w:r>
        <w:rPr>
          <w:rFonts w:hint="eastAsia" w:ascii="仿宋" w:hAnsi="仿宋" w:eastAsia="仿宋" w:cs="仿宋"/>
          <w:sz w:val="32"/>
          <w:szCs w:val="32"/>
          <w:highlight w:val="none"/>
          <w:lang w:val="en-US" w:eastAsia="zh-CN"/>
        </w:rPr>
        <w:t>组织和参加各类人才招聘，共招录403名。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5" w:name="_Toc27912_WPSOffice_Level3"/>
      <w:r>
        <w:rPr>
          <w:rFonts w:hint="eastAsia" w:ascii="仿宋" w:hAnsi="仿宋" w:eastAsia="仿宋" w:cs="仿宋"/>
          <w:b/>
          <w:bCs/>
          <w:sz w:val="32"/>
          <w:szCs w:val="32"/>
          <w:lang w:val="en-US" w:eastAsia="zh-CN"/>
        </w:rPr>
        <w:t>2.医疗卫生基础设施逐步完善</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bCs/>
          <w:color w:val="auto"/>
          <w:sz w:val="30"/>
          <w:szCs w:val="30"/>
          <w:highlight w:val="none"/>
          <w:shd w:val="clear" w:color="auto"/>
          <w:lang w:val="en-US" w:eastAsia="zh-CN"/>
        </w:rPr>
      </w:pPr>
      <w:r>
        <w:rPr>
          <w:rFonts w:hint="eastAsia" w:ascii="仿宋" w:hAnsi="仿宋" w:eastAsia="仿宋" w:cs="仿宋"/>
          <w:sz w:val="32"/>
          <w:szCs w:val="32"/>
          <w:highlight w:val="none"/>
          <w:lang w:val="en-US" w:eastAsia="zh-CN"/>
        </w:rPr>
        <w:t>我县奋力推进卫生强县建设，</w:t>
      </w:r>
      <w:r>
        <w:rPr>
          <w:rFonts w:hint="eastAsia" w:ascii="仿宋" w:hAnsi="仿宋" w:eastAsia="仿宋" w:cs="仿宋"/>
          <w:sz w:val="32"/>
          <w:szCs w:val="32"/>
          <w:lang w:val="en-US" w:eastAsia="zh-CN"/>
        </w:rPr>
        <w:t>“十三五”以来，我县共</w:t>
      </w:r>
      <w:r>
        <w:rPr>
          <w:rFonts w:hint="eastAsia" w:ascii="仿宋" w:hAnsi="仿宋" w:eastAsia="仿宋" w:cs="仿宋"/>
          <w:sz w:val="32"/>
          <w:szCs w:val="32"/>
          <w:highlight w:val="none"/>
          <w:lang w:val="en-US" w:eastAsia="zh-CN"/>
        </w:rPr>
        <w:t>投入15.6282亿元推进县级医院重点建设项目，其中5个项目建设资金超过1亿元</w:t>
      </w:r>
      <w:r>
        <w:rPr>
          <w:rFonts w:hint="eastAsia" w:ascii="仿宋" w:hAnsi="仿宋" w:eastAsia="仿宋" w:cs="仿宋"/>
          <w:sz w:val="32"/>
          <w:szCs w:val="32"/>
          <w:lang w:val="en-US" w:eastAsia="zh-CN"/>
        </w:rPr>
        <w:t>：县人民医院异地搬迁新建项目，县第二人民医院建设项目，县妇幼保健院整体迁址新建项目，县第三人民医院建设项目和饶平县体检康复中心及宿舍楼建设项目；2016年至2018年完成13个基层卫生院标准化建设项目。2021年完成16所村卫生站规范化建设，实现5年建成280所村卫生站的目标。医疗卫生服务环境的跨越式升级。远程医疗平台建设取得新进展，县直3家公立医院和22家基层卫生院均完成远程医疗项目建设，实现远程医疗“一站会诊”。县人民医院可以开展远程会诊业务，全县医疗机构可以正常参加视频会议。县级疾控中心疫苗冷链配送系统、预防接种门诊标准化建设进一步完善，已经实现数据自动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6" w:name="_Toc19618_WPSOffice_Level3"/>
      <w:r>
        <w:rPr>
          <w:rFonts w:hint="eastAsia" w:ascii="仿宋" w:hAnsi="仿宋" w:eastAsia="仿宋" w:cs="仿宋"/>
          <w:b/>
          <w:bCs/>
          <w:sz w:val="32"/>
          <w:szCs w:val="32"/>
          <w:lang w:val="en-US" w:eastAsia="zh-CN"/>
        </w:rPr>
        <w:t>3.医疗服务综合能力不断提升</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val="0"/>
          <w:bCs w:val="0"/>
          <w:color w:val="auto"/>
          <w:sz w:val="28"/>
          <w:szCs w:val="28"/>
          <w:highlight w:val="none"/>
          <w:shd w:val="clear" w:color="auto"/>
          <w:lang w:val="en-US" w:eastAsia="zh-CN"/>
        </w:rPr>
      </w:pPr>
      <w:r>
        <w:rPr>
          <w:rFonts w:hint="eastAsia" w:ascii="仿宋" w:hAnsi="仿宋" w:eastAsia="仿宋" w:cs="仿宋"/>
          <w:sz w:val="32"/>
          <w:szCs w:val="32"/>
          <w:lang w:val="en-US" w:eastAsia="zh-CN"/>
        </w:rPr>
        <w:t>暨南大学附属第一医院全面托管县人民医院，力争3至5年达到综合三甲水平，医疗服务水平实现新跨越。</w:t>
      </w:r>
      <w:r>
        <w:rPr>
          <w:rFonts w:hint="eastAsia" w:ascii="仿宋" w:hAnsi="仿宋" w:eastAsia="仿宋" w:cs="仿宋"/>
          <w:color w:val="000000" w:themeColor="text1"/>
          <w:sz w:val="32"/>
          <w:szCs w:val="32"/>
          <w:highlight w:val="none"/>
          <w:lang w:val="en-US" w:eastAsia="zh-CN"/>
          <w14:textFill>
            <w14:solidFill>
              <w14:schemeClr w14:val="tx1"/>
            </w14:solidFill>
          </w14:textFill>
        </w:rPr>
        <w:t>暨南大学附属第一医院潮汕医院</w:t>
      </w:r>
      <w:r>
        <w:rPr>
          <w:rFonts w:hint="eastAsia" w:ascii="仿宋" w:hAnsi="仿宋" w:eastAsia="仿宋" w:cs="仿宋"/>
          <w:color w:val="000000" w:themeColor="text1"/>
          <w:sz w:val="32"/>
          <w:szCs w:val="32"/>
          <w:highlight w:val="none"/>
          <w14:textFill>
            <w14:solidFill>
              <w14:schemeClr w14:val="tx1"/>
            </w14:solidFill>
          </w14:textFill>
        </w:rPr>
        <w:t>启动胸痛中心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卒中中心建设，</w:t>
      </w:r>
      <w:r>
        <w:rPr>
          <w:rFonts w:hint="eastAsia" w:ascii="仿宋" w:hAnsi="仿宋" w:eastAsia="仿宋" w:cs="仿宋"/>
          <w:color w:val="000000" w:themeColor="text1"/>
          <w:sz w:val="32"/>
          <w:szCs w:val="32"/>
          <w:highlight w:val="none"/>
          <w:lang w:val="en-US" w:eastAsia="zh-CN"/>
          <w14:textFill>
            <w14:solidFill>
              <w14:schemeClr w14:val="tx1"/>
            </w14:solidFill>
          </w14:textFill>
        </w:rPr>
        <w:t>并</w:t>
      </w:r>
      <w:r>
        <w:rPr>
          <w:rFonts w:hint="eastAsia" w:ascii="仿宋" w:hAnsi="仿宋" w:eastAsia="仿宋" w:cs="仿宋"/>
          <w:color w:val="000000" w:themeColor="text1"/>
          <w:sz w:val="32"/>
          <w:szCs w:val="32"/>
          <w:highlight w:val="none"/>
          <w14:textFill>
            <w14:solidFill>
              <w14:schemeClr w14:val="tx1"/>
            </w14:solidFill>
          </w14:textFill>
        </w:rPr>
        <w:t>已在国家卫健委官方网站注册申报卒中中心和胸痛中心。潮汕医院已与高级卒中中心、高级胸痛中心、各乡镇卫生院和饶平县院前急救指挥中心签订区域协同救治网络医院合作协议</w:t>
      </w:r>
      <w:r>
        <w:rPr>
          <w:rFonts w:hint="eastAsia" w:ascii="仿宋" w:hAnsi="仿宋" w:eastAsia="仿宋" w:cs="仿宋"/>
          <w:sz w:val="32"/>
          <w:szCs w:val="32"/>
          <w:lang w:val="en-US" w:eastAsia="zh-CN"/>
        </w:rPr>
        <w:t>。广州市妇女儿童医疗中心帮扶县妇幼保健院、中山市陈星海医院帮扶县中医医院，助推县直专科医院综合服务能力提升。县第二人民医院落成运营填补北部山区没有综合性医院的历史空白。推进人才引进工作取得初步突破。</w:t>
      </w:r>
      <w:r>
        <w:rPr>
          <w:rFonts w:hint="eastAsia" w:ascii="仿宋" w:hAnsi="仿宋" w:eastAsia="仿宋" w:cs="仿宋"/>
          <w:color w:val="000000" w:themeColor="text1"/>
          <w:sz w:val="32"/>
          <w:szCs w:val="32"/>
          <w:highlight w:val="none"/>
          <w14:textFill>
            <w14:solidFill>
              <w14:schemeClr w14:val="tx1"/>
            </w14:solidFill>
          </w14:textFill>
        </w:rPr>
        <w:t>中医药事业实现新发展，县中医医院为潮州市唯一一家二甲中医医院</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担</w:t>
      </w:r>
      <w:r>
        <w:rPr>
          <w:rFonts w:hint="eastAsia" w:ascii="仿宋" w:hAnsi="仿宋" w:eastAsia="仿宋" w:cs="仿宋"/>
          <w:color w:val="000000" w:themeColor="text1"/>
          <w:sz w:val="32"/>
          <w:szCs w:val="32"/>
          <w:highlight w:val="none"/>
          <w:lang w:val="en-US" w:eastAsia="zh-CN"/>
          <w14:textFill>
            <w14:solidFill>
              <w14:schemeClr w14:val="tx1"/>
            </w14:solidFill>
          </w14:textFill>
        </w:rPr>
        <w:t>负全县</w:t>
      </w:r>
      <w:r>
        <w:rPr>
          <w:rFonts w:hint="eastAsia" w:ascii="仿宋" w:hAnsi="仿宋" w:eastAsia="仿宋" w:cs="仿宋"/>
          <w:color w:val="000000" w:themeColor="text1"/>
          <w:sz w:val="32"/>
          <w:szCs w:val="32"/>
          <w:highlight w:val="none"/>
          <w14:textFill>
            <w14:solidFill>
              <w14:schemeClr w14:val="tx1"/>
            </w14:solidFill>
          </w14:textFill>
        </w:rPr>
        <w:t>中医医疗、预防、保健、急救等指导工作。通过采取接受进修、巡回医疗、下派培训等形式，加强基层医疗卫生机构中医药业务指导工作，进一步强化基层中医药服务能力</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中医院</w:t>
      </w:r>
      <w:r>
        <w:rPr>
          <w:rFonts w:hint="eastAsia" w:ascii="仿宋" w:hAnsi="仿宋" w:eastAsia="仿宋" w:cs="仿宋"/>
          <w:color w:val="000000" w:themeColor="text1"/>
          <w:sz w:val="32"/>
          <w:szCs w:val="32"/>
          <w:highlight w:val="none"/>
          <w14:textFill>
            <w14:solidFill>
              <w14:schemeClr w14:val="tx1"/>
            </w14:solidFill>
          </w14:textFill>
        </w:rPr>
        <w:t>治未病科</w:t>
      </w:r>
      <w:r>
        <w:rPr>
          <w:rFonts w:hint="eastAsia" w:ascii="仿宋" w:hAnsi="仿宋" w:eastAsia="仿宋" w:cs="仿宋"/>
          <w:color w:val="000000" w:themeColor="text1"/>
          <w:sz w:val="32"/>
          <w:szCs w:val="32"/>
          <w:highlight w:val="none"/>
          <w:lang w:val="en-US" w:eastAsia="zh-CN"/>
          <w14:textFill>
            <w14:solidFill>
              <w14:schemeClr w14:val="tx1"/>
            </w14:solidFill>
          </w14:textFill>
        </w:rPr>
        <w:t>于</w:t>
      </w:r>
      <w:r>
        <w:rPr>
          <w:rFonts w:hint="eastAsia" w:ascii="仿宋" w:hAnsi="仿宋" w:eastAsia="仿宋" w:cs="仿宋"/>
          <w:color w:val="000000" w:themeColor="text1"/>
          <w:sz w:val="32"/>
          <w:szCs w:val="32"/>
          <w:highlight w:val="none"/>
          <w14:textFill>
            <w14:solidFill>
              <w14:schemeClr w14:val="tx1"/>
            </w14:solidFill>
          </w14:textFill>
        </w:rPr>
        <w:t>2014年被潮州市评为市级中医重点专科</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包含有</w:t>
      </w:r>
      <w:r>
        <w:rPr>
          <w:rFonts w:hint="eastAsia" w:ascii="仿宋" w:hAnsi="仿宋" w:eastAsia="仿宋" w:cs="仿宋"/>
          <w:color w:val="000000" w:themeColor="text1"/>
          <w:sz w:val="32"/>
          <w:szCs w:val="32"/>
          <w:highlight w:val="none"/>
          <w14:textFill>
            <w14:solidFill>
              <w14:schemeClr w14:val="tx1"/>
            </w14:solidFill>
          </w14:textFill>
        </w:rPr>
        <w:t>中医健康体检、健康咨询指导、</w:t>
      </w:r>
      <w:bookmarkStart w:id="7" w:name="_Toc3890_WPSOffice_Level3"/>
      <w:r>
        <w:rPr>
          <w:rFonts w:hint="eastAsia" w:ascii="仿宋" w:hAnsi="仿宋" w:eastAsia="仿宋" w:cs="仿宋"/>
          <w:color w:val="000000" w:themeColor="text1"/>
          <w:sz w:val="32"/>
          <w:szCs w:val="32"/>
          <w:highlight w:val="none"/>
          <w14:textFill>
            <w14:solidFill>
              <w14:schemeClr w14:val="tx1"/>
            </w14:solidFill>
          </w14:textFill>
        </w:rPr>
        <w:t>健康调理、健康管理</w:t>
      </w:r>
      <w:r>
        <w:rPr>
          <w:rFonts w:hint="eastAsia" w:ascii="仿宋" w:hAnsi="仿宋" w:eastAsia="仿宋" w:cs="仿宋"/>
          <w:color w:val="000000" w:themeColor="text1"/>
          <w:sz w:val="32"/>
          <w:szCs w:val="32"/>
          <w:highlight w:val="none"/>
          <w:lang w:val="en-US" w:eastAsia="zh-CN"/>
          <w14:textFill>
            <w14:solidFill>
              <w14:schemeClr w14:val="tx1"/>
            </w14:solidFill>
          </w14:textFill>
        </w:rPr>
        <w:t>等项目。</w:t>
      </w:r>
      <w:r>
        <w:rPr>
          <w:rFonts w:hint="eastAsia" w:ascii="仿宋" w:hAnsi="仿宋" w:eastAsia="仿宋" w:cs="仿宋"/>
          <w:color w:val="000000" w:themeColor="text1"/>
          <w:sz w:val="32"/>
          <w:szCs w:val="32"/>
          <w:highlight w:val="none"/>
          <w14:textFill>
            <w14:solidFill>
              <w14:schemeClr w14:val="tx1"/>
            </w14:solidFill>
          </w14:textFill>
        </w:rPr>
        <w:t>脾胃病科</w:t>
      </w:r>
      <w:r>
        <w:rPr>
          <w:rFonts w:hint="eastAsia" w:ascii="仿宋" w:hAnsi="仿宋" w:eastAsia="仿宋" w:cs="仿宋"/>
          <w:color w:val="000000" w:themeColor="text1"/>
          <w:sz w:val="32"/>
          <w:szCs w:val="32"/>
          <w:highlight w:val="none"/>
          <w:lang w:eastAsia="zh-CN"/>
          <w14:textFill>
            <w14:solidFill>
              <w14:schemeClr w14:val="tx1"/>
            </w14:solidFill>
          </w14:textFill>
        </w:rPr>
        <w:t>是</w:t>
      </w:r>
      <w:r>
        <w:rPr>
          <w:rFonts w:hint="eastAsia" w:ascii="仿宋" w:hAnsi="仿宋" w:eastAsia="仿宋" w:cs="仿宋"/>
          <w:color w:val="000000" w:themeColor="text1"/>
          <w:sz w:val="32"/>
          <w:szCs w:val="32"/>
          <w:highlight w:val="none"/>
          <w14:textFill>
            <w14:solidFill>
              <w14:schemeClr w14:val="tx1"/>
            </w14:solidFill>
          </w14:textFill>
        </w:rPr>
        <w:t>广东省“十二</w:t>
      </w:r>
      <w:bookmarkEnd w:id="7"/>
      <w:r>
        <w:rPr>
          <w:rFonts w:hint="eastAsia" w:ascii="仿宋" w:hAnsi="仿宋" w:eastAsia="仿宋" w:cs="仿宋"/>
          <w:color w:val="000000" w:themeColor="text1"/>
          <w:sz w:val="32"/>
          <w:szCs w:val="32"/>
          <w:highlight w:val="none"/>
          <w14:textFill>
            <w14:solidFill>
              <w14:schemeClr w14:val="tx1"/>
            </w14:solidFill>
          </w14:textFill>
        </w:rPr>
        <w:t>五”中医重点（特色）专科</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各乡镇卫生院设立中医馆，</w:t>
      </w:r>
      <w:r>
        <w:rPr>
          <w:rFonts w:hint="eastAsia" w:ascii="仿宋" w:hAnsi="仿宋" w:eastAsia="仿宋" w:cs="仿宋"/>
          <w:color w:val="000000" w:themeColor="text1"/>
          <w:sz w:val="32"/>
          <w:szCs w:val="32"/>
          <w:highlight w:val="none"/>
          <w:lang w:val="en-US" w:eastAsia="zh-CN"/>
          <w14:textFill>
            <w14:solidFill>
              <w14:schemeClr w14:val="tx1"/>
            </w14:solidFill>
          </w14:textFill>
        </w:rPr>
        <w:t>向群众提供质优价廉的中医药诊疗健康服务，</w:t>
      </w:r>
      <w:r>
        <w:rPr>
          <w:rFonts w:hint="eastAsia" w:ascii="仿宋" w:hAnsi="仿宋" w:eastAsia="仿宋" w:cs="仿宋"/>
          <w:color w:val="000000" w:themeColor="text1"/>
          <w:sz w:val="32"/>
          <w:szCs w:val="32"/>
          <w:highlight w:val="none"/>
          <w14:textFill>
            <w14:solidFill>
              <w14:schemeClr w14:val="tx1"/>
            </w14:solidFill>
          </w14:textFill>
        </w:rPr>
        <w:t>基层中医药服务能力不断提升</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8" w:name="_Toc28003_WPSOffice_Level3"/>
      <w:r>
        <w:rPr>
          <w:rFonts w:hint="eastAsia" w:ascii="仿宋" w:hAnsi="仿宋" w:eastAsia="仿宋" w:cs="仿宋"/>
          <w:b/>
          <w:bCs/>
          <w:sz w:val="32"/>
          <w:szCs w:val="32"/>
          <w:lang w:val="en-US" w:eastAsia="zh-CN"/>
        </w:rPr>
        <w:t>4.医疗卫生服务体系进一步健全</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val="0"/>
          <w:bCs w:val="0"/>
          <w:color w:val="auto"/>
          <w:sz w:val="28"/>
          <w:szCs w:val="28"/>
          <w:highlight w:val="none"/>
          <w:shd w:val="clear" w:color="auto"/>
          <w:lang w:val="en-US" w:eastAsia="zh-CN"/>
        </w:rPr>
      </w:pPr>
      <w:r>
        <w:rPr>
          <w:rFonts w:hint="eastAsia" w:ascii="仿宋" w:hAnsi="仿宋" w:eastAsia="仿宋" w:cs="仿宋"/>
          <w:sz w:val="32"/>
          <w:szCs w:val="32"/>
          <w:lang w:val="en-US" w:eastAsia="zh-CN"/>
        </w:rPr>
        <w:t>我县医疗卫生体制改革取得新进展，强化医疗、医保、医药“三医联动”改革，全面推开公立医院综合改革，取消药品和耗材加成。执行药品零差率销售和药品网上限价竞价“阳光采购”政策，实行药品、耗材零差率销售，有效解决基层“以药养医”、群众“看病贵”等问题。开展现代医院管理制度试点，全面推进以质量为核心、公益性为导向的绩效考核。完善基层医务人员薪酬、职称激励机制。</w:t>
      </w:r>
      <w:r>
        <w:rPr>
          <w:rFonts w:hint="eastAsia" w:ascii="仿宋" w:hAnsi="仿宋" w:eastAsia="仿宋" w:cs="仿宋"/>
          <w:color w:val="000000" w:themeColor="text1"/>
          <w:sz w:val="32"/>
          <w:szCs w:val="32"/>
          <w:highlight w:val="none"/>
          <w:lang w:val="en-US" w:eastAsia="zh-CN"/>
          <w14:textFill>
            <w14:solidFill>
              <w14:schemeClr w14:val="tx1"/>
            </w14:solidFill>
          </w14:textFill>
        </w:rPr>
        <w:t>积极落实基层卫生院人员</w:t>
      </w:r>
      <w:r>
        <w:rPr>
          <w:rFonts w:hint="eastAsia" w:ascii="仿宋" w:hAnsi="仿宋" w:eastAsia="仿宋" w:cs="仿宋"/>
          <w:sz w:val="32"/>
          <w:szCs w:val="32"/>
          <w:lang w:val="en-US" w:eastAsia="zh-CN"/>
        </w:rPr>
        <w:t>“一类供给，二类管理”政策。</w:t>
      </w:r>
      <w:r>
        <w:rPr>
          <w:rFonts w:hint="eastAsia" w:ascii="仿宋" w:hAnsi="仿宋" w:eastAsia="仿宋" w:cs="仿宋"/>
          <w:sz w:val="32"/>
          <w:szCs w:val="32"/>
          <w:highlight w:val="none"/>
          <w:lang w:val="en-US" w:eastAsia="zh-CN"/>
        </w:rPr>
        <w:t>“十三五”期间，基层卫生院在编在岗人员的基本工资（按县人社局核定数）、绩效工资的70%，由县财政纳入预算并予以保障，统筹发放。绩效工资余下30%部分及其它，由各单位在业务收入中自行解决。</w:t>
      </w:r>
      <w:r>
        <w:rPr>
          <w:rFonts w:hint="eastAsia" w:ascii="仿宋" w:hAnsi="仿宋" w:eastAsia="仿宋" w:cs="仿宋"/>
          <w:sz w:val="32"/>
          <w:szCs w:val="32"/>
          <w:lang w:val="en-US" w:eastAsia="zh-CN"/>
        </w:rPr>
        <w:t>实施山区和农村边远地区卫生院医务人员岗位津贴和卫生专业技术职称补助措施。基层卫生院在编在岗人员的基本工资、绩效工资已纳入2021年年初部门预算并予以保障。落实分级诊疗制度，推进紧密型县域医共体建设。潮汕医院</w:t>
      </w:r>
      <w:r>
        <w:rPr>
          <w:rFonts w:hint="eastAsia" w:ascii="仿宋" w:hAnsi="仿宋" w:eastAsia="仿宋" w:cs="仿宋"/>
          <w:color w:val="000000" w:themeColor="text1"/>
          <w:sz w:val="32"/>
          <w:szCs w:val="32"/>
          <w:highlight w:val="none"/>
          <w:lang w:val="en-US" w:eastAsia="zh-CN"/>
          <w14:textFill>
            <w14:solidFill>
              <w14:schemeClr w14:val="tx1"/>
            </w14:solidFill>
          </w14:textFill>
        </w:rPr>
        <w:t>发挥牵头医院龙头带动作用，</w:t>
      </w:r>
      <w:r>
        <w:rPr>
          <w:rFonts w:hint="eastAsia" w:ascii="仿宋" w:hAnsi="仿宋" w:eastAsia="仿宋" w:cs="仿宋"/>
          <w:sz w:val="32"/>
          <w:szCs w:val="32"/>
          <w:lang w:val="en-US" w:eastAsia="zh-CN"/>
        </w:rPr>
        <w:t>同浮山中心卫生院建立联合病房、联合门诊；在东山卫生院设置肿瘤中心专家诊室；在新圩卫生院设置骨科专科共建基地，努力构建“小病在基层、大病进医院、康复回基层”的医疗服务新模式。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9" w:name="_Toc14560_WPSOffice_Level3"/>
      <w:r>
        <w:rPr>
          <w:rFonts w:hint="eastAsia" w:ascii="仿宋" w:hAnsi="仿宋" w:eastAsia="仿宋" w:cs="仿宋"/>
          <w:b/>
          <w:bCs/>
          <w:sz w:val="32"/>
          <w:szCs w:val="32"/>
          <w:lang w:val="en-US" w:eastAsia="zh-CN"/>
        </w:rPr>
        <w:t>5.完善重大疾病联防联控机制</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完善公共卫生和重大疾病防控体系建设，全面提升我县突发公共卫生事件的应急处置和医疗救治能力。2020年,面对突如其来的新冠肺炎疫情,全县上下一条心，抓紧抓实常态化疫情防控，做好“外防输入、内防反弹”措施，坚决守住本土“零感染”战绩。完善公共卫生安全体系，成立饶平县公共卫生与重大疾病防治工作领导小组，疾病防控“四方责任”认真落实，“三个一”环境卫生整治制度持续巩固。成立饶平县突发急性传染病卫生应急队。设立卫生健康副校长制度。抓早抓小重大疾病防控。科学快速应对H7N9、登革热等突发传染病疫情。全县传染病疫情总体平稳，甲乙类传染病发病数较“十三五”</w:t>
      </w:r>
      <w:r>
        <w:rPr>
          <w:rFonts w:hint="eastAsia" w:ascii="仿宋" w:hAnsi="仿宋" w:eastAsia="仿宋" w:cs="仿宋"/>
          <w:sz w:val="32"/>
          <w:szCs w:val="32"/>
          <w:highlight w:val="none"/>
          <w:lang w:eastAsia="zh-CN"/>
        </w:rPr>
        <w:t>稳中有降。艾滋病疫情整体维持低流行水平，肺结核报告发病率降至</w:t>
      </w:r>
      <w:r>
        <w:rPr>
          <w:rFonts w:hint="eastAsia" w:ascii="仿宋" w:hAnsi="仿宋" w:eastAsia="仿宋" w:cs="仿宋"/>
          <w:sz w:val="32"/>
          <w:szCs w:val="32"/>
          <w:highlight w:val="none"/>
          <w:lang w:val="en-US" w:eastAsia="zh-CN"/>
        </w:rPr>
        <w:t>42.12</w:t>
      </w:r>
      <w:r>
        <w:rPr>
          <w:rFonts w:hint="eastAsia" w:ascii="仿宋" w:hAnsi="仿宋" w:eastAsia="仿宋" w:cs="仿宋"/>
          <w:sz w:val="32"/>
          <w:szCs w:val="32"/>
          <w:highlight w:val="none"/>
          <w:lang w:eastAsia="zh-CN"/>
        </w:rPr>
        <w:t>/10万以下，较2015年下降超</w:t>
      </w:r>
      <w:r>
        <w:rPr>
          <w:rFonts w:hint="eastAsia" w:ascii="仿宋" w:hAnsi="仿宋" w:eastAsia="仿宋" w:cs="仿宋"/>
          <w:sz w:val="32"/>
          <w:szCs w:val="32"/>
          <w:highlight w:val="none"/>
          <w:lang w:val="en-US" w:eastAsia="zh-CN"/>
        </w:rPr>
        <w:t>24个百分点</w:t>
      </w:r>
      <w:r>
        <w:rPr>
          <w:rFonts w:hint="eastAsia" w:ascii="仿宋" w:hAnsi="仿宋" w:eastAsia="仿宋" w:cs="仿宋"/>
          <w:sz w:val="32"/>
          <w:szCs w:val="32"/>
          <w:highlight w:val="none"/>
          <w:lang w:eastAsia="zh-CN"/>
        </w:rPr>
        <w:t>。5岁以下儿童乙肝表面抗原携带率降至</w:t>
      </w:r>
      <w:r>
        <w:rPr>
          <w:rFonts w:hint="eastAsia" w:ascii="仿宋" w:hAnsi="仿宋" w:eastAsia="仿宋" w:cs="仿宋"/>
          <w:sz w:val="32"/>
          <w:szCs w:val="32"/>
          <w:highlight w:val="none"/>
          <w:lang w:val="en-US" w:eastAsia="zh-CN"/>
        </w:rPr>
        <w:t>1％以下</w:t>
      </w:r>
      <w:r>
        <w:rPr>
          <w:rFonts w:hint="eastAsia" w:ascii="仿宋" w:hAnsi="仿宋" w:eastAsia="仿宋" w:cs="仿宋"/>
          <w:sz w:val="32"/>
          <w:szCs w:val="32"/>
          <w:highlight w:val="none"/>
          <w:lang w:eastAsia="zh-CN"/>
        </w:rPr>
        <w:t>，乙脑、流脑等多种疫苗可预防传染病发病率保持极低水平。</w:t>
      </w:r>
      <w:r>
        <w:rPr>
          <w:rFonts w:hint="eastAsia" w:ascii="仿宋" w:hAnsi="仿宋" w:eastAsia="仿宋" w:cs="仿宋"/>
          <w:sz w:val="32"/>
          <w:szCs w:val="32"/>
          <w:lang w:eastAsia="zh-CN"/>
        </w:rPr>
        <w:t>规范落实严重精神障碍防治管理工作，持续巩固结核病、地方病和慢性病防治成效，有效实施国家扩大免疫规划，有序开展食品安全监测。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10" w:name="_Toc18396_WPSOffice_Level3"/>
      <w:r>
        <w:rPr>
          <w:rFonts w:hint="eastAsia" w:ascii="仿宋" w:hAnsi="仿宋" w:eastAsia="仿宋" w:cs="仿宋"/>
          <w:b/>
          <w:bCs/>
          <w:sz w:val="32"/>
          <w:szCs w:val="32"/>
          <w:lang w:val="en-US" w:eastAsia="zh-CN"/>
        </w:rPr>
        <w:t>6.实施健康饶平行动</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实施健康饶平行动，政府、社会、个人协同推进17个专项行动。结合新冠肺炎疫情防控，推进健康融入所有政策，强化健康知识宣传普及，提高全人群居民健康素养，2020年居民健康素养水平22.95%。职业健康工作扎实推进，部门职责进一步理顺压实，尘肺病攻坚行动取得明显成效。重点职业病监测全覆盖，职业病防治基本信息实现共享。县人民医院已通过省备案为职业健康检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⑵深化爱国卫生运动，创建国家卫生县。</w:t>
      </w:r>
      <w:r>
        <w:rPr>
          <w:rFonts w:hint="eastAsia" w:ascii="仿宋" w:hAnsi="仿宋" w:eastAsia="仿宋" w:cs="仿宋"/>
          <w:sz w:val="32"/>
          <w:szCs w:val="32"/>
        </w:rPr>
        <w:t>大力开展卫生村镇创建工作，全县已创建广东省卫生县城1个、省卫生镇1个、市卫生镇19个；省卫生村总数达到379个，卫生村受益人口覆盖率达97%以上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2021年黄冈镇成功创建为广东省卫生县城。</w:t>
      </w:r>
      <w:r>
        <w:rPr>
          <w:rFonts w:hint="eastAsia" w:ascii="仿宋" w:hAnsi="仿宋" w:eastAsia="仿宋" w:cs="仿宋"/>
          <w:sz w:val="32"/>
          <w:szCs w:val="32"/>
          <w:lang w:eastAsia="zh-CN"/>
        </w:rPr>
        <w:t>不断深化爱国卫生运动，</w:t>
      </w:r>
      <w:r>
        <w:rPr>
          <w:rFonts w:hint="eastAsia" w:ascii="仿宋" w:hAnsi="仿宋" w:eastAsia="仿宋" w:cs="仿宋"/>
          <w:sz w:val="32"/>
          <w:szCs w:val="32"/>
        </w:rPr>
        <w:t>环境卫生治理</w:t>
      </w:r>
      <w:r>
        <w:rPr>
          <w:rFonts w:hint="eastAsia" w:ascii="仿宋" w:hAnsi="仿宋" w:eastAsia="仿宋" w:cs="仿宋"/>
          <w:sz w:val="32"/>
          <w:szCs w:val="32"/>
          <w:lang w:eastAsia="zh-CN"/>
        </w:rPr>
        <w:t>进一步提升，县疾控中心定期</w:t>
      </w:r>
      <w:r>
        <w:rPr>
          <w:rFonts w:hint="eastAsia" w:ascii="仿宋" w:hAnsi="仿宋" w:eastAsia="仿宋" w:cs="仿宋"/>
          <w:sz w:val="32"/>
          <w:szCs w:val="32"/>
        </w:rPr>
        <w:t>做密做实蚊媒预警和病例监测</w:t>
      </w:r>
      <w:r>
        <w:rPr>
          <w:rFonts w:hint="eastAsia" w:ascii="仿宋" w:hAnsi="仿宋" w:eastAsia="仿宋" w:cs="仿宋"/>
          <w:sz w:val="32"/>
          <w:szCs w:val="32"/>
          <w:lang w:eastAsia="zh-CN"/>
        </w:rPr>
        <w:t>，城区及</w:t>
      </w:r>
      <w:r>
        <w:rPr>
          <w:rFonts w:hint="eastAsia" w:ascii="仿宋" w:hAnsi="仿宋" w:eastAsia="仿宋" w:cs="仿宋"/>
          <w:sz w:val="32"/>
          <w:szCs w:val="32"/>
        </w:rPr>
        <w:t>农村</w:t>
      </w:r>
      <w:r>
        <w:rPr>
          <w:rFonts w:hint="eastAsia" w:ascii="仿宋" w:hAnsi="仿宋" w:eastAsia="仿宋" w:cs="仿宋"/>
          <w:b w:val="0"/>
          <w:bCs/>
          <w:sz w:val="32"/>
          <w:szCs w:val="32"/>
          <w:highlight w:val="none"/>
        </w:rPr>
        <w:t>居民饮用水水质达标情况明显提升</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val="0"/>
          <w:bCs w:val="0"/>
          <w:color w:val="auto"/>
          <w:sz w:val="28"/>
          <w:szCs w:val="28"/>
          <w:highlight w:val="none"/>
          <w:shd w:val="clear" w:color="auto"/>
          <w:lang w:val="en-US" w:eastAsia="zh-CN"/>
        </w:rPr>
      </w:pPr>
      <w:r>
        <w:rPr>
          <w:rFonts w:hint="eastAsia" w:ascii="仿宋" w:hAnsi="仿宋" w:eastAsia="仿宋" w:cs="仿宋"/>
          <w:sz w:val="32"/>
          <w:szCs w:val="32"/>
        </w:rPr>
        <w:t>⑶坚持以政策宣传为导向，深化管理服务改革，积极推进全面两孩政策的实施落实。</w:t>
      </w:r>
      <w:r>
        <w:rPr>
          <w:rFonts w:hint="eastAsia" w:ascii="仿宋" w:hAnsi="仿宋" w:eastAsia="仿宋" w:cs="仿宋"/>
          <w:sz w:val="32"/>
          <w:szCs w:val="32"/>
          <w:lang w:val="en-US" w:eastAsia="zh-CN"/>
        </w:rPr>
        <w:t>利用</w:t>
      </w:r>
      <w:r>
        <w:rPr>
          <w:rFonts w:hint="eastAsia" w:ascii="仿宋" w:hAnsi="仿宋" w:eastAsia="仿宋" w:cs="仿宋"/>
          <w:sz w:val="32"/>
          <w:szCs w:val="32"/>
        </w:rPr>
        <w:t>政府公众信息网站在线咨询回复、</w:t>
      </w:r>
      <w:r>
        <w:rPr>
          <w:rFonts w:hint="eastAsia" w:ascii="仿宋" w:hAnsi="仿宋" w:eastAsia="仿宋" w:cs="仿宋"/>
          <w:color w:val="auto"/>
          <w:sz w:val="32"/>
          <w:szCs w:val="32"/>
          <w:highlight w:val="none"/>
        </w:rPr>
        <w:t>县融媒体中心</w:t>
      </w:r>
      <w:r>
        <w:rPr>
          <w:rFonts w:hint="eastAsia" w:ascii="仿宋" w:hAnsi="仿宋" w:eastAsia="仿宋" w:cs="仿宋"/>
          <w:sz w:val="32"/>
          <w:szCs w:val="32"/>
          <w:lang w:val="en-US" w:eastAsia="zh-CN"/>
        </w:rPr>
        <w:t>及所属新闻媒体平台</w:t>
      </w:r>
      <w:r>
        <w:rPr>
          <w:rFonts w:hint="eastAsia" w:ascii="仿宋" w:hAnsi="仿宋" w:eastAsia="仿宋" w:cs="仿宋"/>
          <w:sz w:val="32"/>
          <w:szCs w:val="32"/>
        </w:rPr>
        <w:t>等多渠道宣传两孩政策</w:t>
      </w:r>
      <w:r>
        <w:rPr>
          <w:rFonts w:hint="eastAsia" w:ascii="仿宋" w:hAnsi="仿宋" w:eastAsia="仿宋" w:cs="仿宋"/>
          <w:sz w:val="32"/>
          <w:szCs w:val="32"/>
          <w:lang w:eastAsia="zh-CN"/>
        </w:rPr>
        <w:t>；</w:t>
      </w:r>
      <w:r>
        <w:rPr>
          <w:rFonts w:hint="eastAsia" w:ascii="仿宋" w:hAnsi="仿宋" w:eastAsia="仿宋" w:cs="仿宋"/>
          <w:sz w:val="32"/>
          <w:szCs w:val="32"/>
        </w:rPr>
        <w:t>通过镇、村计生三栏开设政策宣传栏、镇计生办证窗口设立咨询台</w:t>
      </w:r>
      <w:r>
        <w:rPr>
          <w:rFonts w:hint="eastAsia" w:ascii="仿宋" w:hAnsi="仿宋" w:eastAsia="仿宋" w:cs="仿宋"/>
          <w:sz w:val="32"/>
          <w:szCs w:val="32"/>
          <w:lang w:eastAsia="zh-CN"/>
        </w:rPr>
        <w:t>，</w:t>
      </w:r>
      <w:r>
        <w:rPr>
          <w:rFonts w:hint="eastAsia" w:ascii="仿宋" w:hAnsi="仿宋" w:eastAsia="仿宋" w:cs="仿宋"/>
          <w:sz w:val="32"/>
          <w:szCs w:val="32"/>
        </w:rPr>
        <w:t>组织开展户外咨询活动，为群众提供计生政策咨询服务。以“实施全面两孩政策”为课题</w:t>
      </w:r>
      <w:r>
        <w:rPr>
          <w:rFonts w:hint="eastAsia" w:ascii="仿宋" w:hAnsi="仿宋" w:eastAsia="仿宋" w:cs="仿宋"/>
          <w:sz w:val="32"/>
          <w:szCs w:val="32"/>
          <w:lang w:eastAsia="zh-CN"/>
        </w:rPr>
        <w:t>，</w:t>
      </w:r>
      <w:r>
        <w:rPr>
          <w:rFonts w:hint="eastAsia" w:ascii="仿宋" w:hAnsi="仿宋" w:eastAsia="仿宋" w:cs="仿宋"/>
          <w:sz w:val="32"/>
          <w:szCs w:val="32"/>
        </w:rPr>
        <w:t>举办计划生育政策法规培训班，县委党校</w:t>
      </w:r>
      <w:r>
        <w:rPr>
          <w:rFonts w:hint="eastAsia" w:ascii="仿宋" w:hAnsi="仿宋" w:eastAsia="仿宋" w:cs="仿宋"/>
          <w:sz w:val="32"/>
          <w:szCs w:val="32"/>
          <w:lang w:val="en-US" w:eastAsia="zh-CN"/>
        </w:rPr>
        <w:t>培训班培训</w:t>
      </w:r>
      <w:r>
        <w:rPr>
          <w:rFonts w:hint="eastAsia" w:ascii="仿宋" w:hAnsi="仿宋" w:eastAsia="仿宋" w:cs="仿宋"/>
          <w:sz w:val="32"/>
          <w:szCs w:val="32"/>
        </w:rPr>
        <w:t>各镇近300名副科级以上干部以及480名村（社区）支部书记、主任；</w:t>
      </w:r>
      <w:r>
        <w:rPr>
          <w:rFonts w:hint="eastAsia" w:ascii="仿宋" w:hAnsi="仿宋" w:eastAsia="仿宋" w:cs="仿宋"/>
          <w:sz w:val="32"/>
          <w:szCs w:val="32"/>
          <w:lang w:val="en-US" w:eastAsia="zh-CN"/>
        </w:rPr>
        <w:t>分片培训</w:t>
      </w:r>
      <w:r>
        <w:rPr>
          <w:rFonts w:hint="eastAsia" w:ascii="仿宋" w:hAnsi="仿宋" w:eastAsia="仿宋" w:cs="仿宋"/>
          <w:sz w:val="32"/>
          <w:szCs w:val="32"/>
        </w:rPr>
        <w:t>800多名计生专干。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⑷完善配套政策，</w:t>
      </w:r>
      <w:r>
        <w:rPr>
          <w:rFonts w:hint="eastAsia" w:ascii="仿宋" w:hAnsi="仿宋" w:eastAsia="仿宋" w:cs="仿宋"/>
          <w:sz w:val="32"/>
          <w:szCs w:val="32"/>
        </w:rPr>
        <w:t>全面实行生育登记制度。</w:t>
      </w:r>
      <w:r>
        <w:rPr>
          <w:rFonts w:hint="eastAsia" w:ascii="仿宋" w:hAnsi="仿宋" w:eastAsia="仿宋" w:cs="仿宋"/>
          <w:sz w:val="32"/>
          <w:szCs w:val="32"/>
          <w:lang w:val="en-US" w:eastAsia="zh-CN"/>
        </w:rPr>
        <w:t>全面加强出生缺陷综合防治，县妇幼保健院出生缺陷综合干预中心全部建成并投入使用。城乡适龄妇女“两癌”免费检查</w:t>
      </w:r>
      <w:r>
        <w:rPr>
          <w:rFonts w:hint="eastAsia" w:ascii="仿宋" w:hAnsi="仿宋" w:eastAsia="仿宋" w:cs="仿宋"/>
          <w:sz w:val="32"/>
          <w:szCs w:val="32"/>
        </w:rPr>
        <w:t>、消除艾滋病梅毒乙肝母婴传播项目持续推进。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val="0"/>
          <w:bCs w:val="0"/>
          <w:color w:val="auto"/>
          <w:sz w:val="28"/>
          <w:szCs w:val="28"/>
          <w:highlight w:val="none"/>
          <w:shd w:val="clear" w:color="auto"/>
          <w:lang w:val="en-US" w:eastAsia="zh-CN"/>
        </w:rPr>
      </w:pPr>
      <w:r>
        <w:rPr>
          <w:rFonts w:hint="eastAsia" w:ascii="仿宋" w:hAnsi="仿宋" w:eastAsia="仿宋" w:cs="仿宋"/>
          <w:sz w:val="32"/>
          <w:szCs w:val="32"/>
        </w:rPr>
        <w:t>⑸大力发展医养结合，</w:t>
      </w:r>
      <w:r>
        <w:rPr>
          <w:rFonts w:hint="eastAsia" w:ascii="仿宋" w:hAnsi="仿宋" w:eastAsia="仿宋" w:cs="仿宋"/>
          <w:sz w:val="32"/>
          <w:szCs w:val="32"/>
          <w:lang w:eastAsia="zh-CN"/>
        </w:rPr>
        <w:t>全县</w:t>
      </w:r>
      <w:r>
        <w:rPr>
          <w:rFonts w:hint="eastAsia" w:ascii="仿宋" w:hAnsi="仿宋" w:eastAsia="仿宋" w:cs="仿宋"/>
          <w:sz w:val="32"/>
          <w:szCs w:val="32"/>
          <w:lang w:val="en-US" w:eastAsia="zh-CN"/>
        </w:rPr>
        <w:t>22个养老机构（包括县福利院、19个镇办敬老院、高堂晨光爱老院、三饶镇幸福颐养院），为老年人提供便捷、</w:t>
      </w:r>
      <w:r>
        <w:rPr>
          <w:rFonts w:hint="eastAsia" w:ascii="仿宋" w:hAnsi="仿宋" w:eastAsia="仿宋" w:cs="仿宋"/>
          <w:color w:val="000000" w:themeColor="text1"/>
          <w:sz w:val="32"/>
          <w:szCs w:val="32"/>
          <w:highlight w:val="none"/>
          <w:lang w:val="en-US" w:eastAsia="zh-CN"/>
          <w14:textFill>
            <w14:solidFill>
              <w14:schemeClr w14:val="tx1"/>
            </w14:solidFill>
          </w14:textFill>
        </w:rPr>
        <w:t>持续的医疗卫生服务。</w:t>
      </w:r>
      <w:r>
        <w:rPr>
          <w:rFonts w:hint="eastAsia" w:ascii="仿宋" w:hAnsi="仿宋" w:eastAsia="仿宋" w:cs="仿宋"/>
          <w:color w:val="000000" w:themeColor="text1"/>
          <w:sz w:val="32"/>
          <w:szCs w:val="32"/>
          <w:highlight w:val="none"/>
          <w14:textFill>
            <w14:solidFill>
              <w14:schemeClr w14:val="tx1"/>
            </w14:solidFill>
          </w14:textFill>
        </w:rPr>
        <w:t>结合我县实际，2021年在潮汕医院设置老年医学科，</w:t>
      </w:r>
      <w:r>
        <w:rPr>
          <w:rFonts w:hint="eastAsia" w:ascii="仿宋" w:hAnsi="仿宋" w:eastAsia="仿宋" w:cs="仿宋"/>
          <w:color w:val="000000" w:themeColor="text1"/>
          <w:sz w:val="32"/>
          <w:szCs w:val="32"/>
          <w:highlight w:val="none"/>
          <w:lang w:val="en-US" w:eastAsia="zh-CN"/>
          <w14:textFill>
            <w14:solidFill>
              <w14:schemeClr w14:val="tx1"/>
            </w14:solidFill>
          </w14:textFill>
        </w:rPr>
        <w:t>在饶平县新丰镇敬老院、饶平县高堂晨光爱老院设置卫生室，由属地卫生院派出医生、护士开展诊疗、健康咨询服务</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⑹全县基层医疗机构开展家庭医生签约服务覆盖率</w:t>
      </w:r>
      <w:r>
        <w:rPr>
          <w:rFonts w:hint="eastAsia" w:ascii="仿宋" w:hAnsi="仿宋" w:eastAsia="仿宋" w:cs="仿宋"/>
          <w:sz w:val="32"/>
          <w:szCs w:val="32"/>
          <w:lang w:val="en-US" w:eastAsia="zh-CN"/>
        </w:rPr>
        <w:t>100</w:t>
      </w:r>
      <w:r>
        <w:rPr>
          <w:rFonts w:hint="eastAsia" w:ascii="仿宋" w:hAnsi="仿宋" w:eastAsia="仿宋" w:cs="仿宋"/>
          <w:sz w:val="32"/>
          <w:szCs w:val="32"/>
        </w:rPr>
        <w:t>％，重点服务人群签约率</w:t>
      </w:r>
      <w:r>
        <w:rPr>
          <w:rFonts w:hint="eastAsia" w:ascii="仿宋" w:hAnsi="仿宋" w:eastAsia="仿宋" w:cs="仿宋"/>
          <w:sz w:val="32"/>
          <w:szCs w:val="32"/>
          <w:lang w:val="en-US" w:eastAsia="zh-CN"/>
        </w:rPr>
        <w:t>76.05</w:t>
      </w:r>
      <w:r>
        <w:rPr>
          <w:rFonts w:hint="eastAsia" w:ascii="仿宋" w:hAnsi="仿宋" w:eastAsia="仿宋" w:cs="仿宋"/>
          <w:sz w:val="32"/>
          <w:szCs w:val="32"/>
        </w:rPr>
        <w:t>％。65周岁以上老年人家庭医生签约服务覆盖率</w:t>
      </w:r>
      <w:r>
        <w:rPr>
          <w:rFonts w:hint="eastAsia" w:ascii="仿宋" w:hAnsi="仿宋" w:eastAsia="仿宋" w:cs="仿宋"/>
          <w:sz w:val="32"/>
          <w:szCs w:val="32"/>
          <w:lang w:val="en-US" w:eastAsia="zh-CN"/>
        </w:rPr>
        <w:t>67.14</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0"/>
          <w:szCs w:val="30"/>
          <w:lang w:val="en-US" w:eastAsia="zh-CN"/>
        </w:rPr>
      </w:pPr>
      <w:bookmarkStart w:id="11" w:name="_Toc5757_WPSOffice_Level3"/>
      <w:r>
        <w:rPr>
          <w:rFonts w:hint="eastAsia" w:ascii="黑体" w:hAnsi="黑体" w:eastAsia="黑体"/>
          <w:sz w:val="30"/>
          <w:szCs w:val="30"/>
          <w:lang w:val="en-US" w:eastAsia="zh-CN"/>
        </w:rPr>
        <w:t>饶平县“十三五”时期卫生健康主要发展指标完成情况</w:t>
      </w:r>
      <w:bookmarkEnd w:id="11"/>
    </w:p>
    <w:tbl>
      <w:tblPr>
        <w:tblStyle w:val="13"/>
        <w:tblW w:w="912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232"/>
        <w:gridCol w:w="1368"/>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0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ascii="仿宋_GB2312" w:hAnsi="仿宋_GB2312"/>
                <w:b/>
                <w:sz w:val="21"/>
                <w:szCs w:val="21"/>
              </w:rPr>
            </w:pPr>
            <w:r>
              <w:rPr>
                <w:rFonts w:hint="eastAsia" w:ascii="仿宋_GB2312" w:hAnsi="仿宋_GB2312"/>
                <w:b/>
                <w:sz w:val="21"/>
                <w:szCs w:val="21"/>
              </w:rPr>
              <w:t>领域</w:t>
            </w:r>
          </w:p>
        </w:tc>
        <w:tc>
          <w:tcPr>
            <w:tcW w:w="52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2"/>
              <w:jc w:val="center"/>
              <w:textAlignment w:val="auto"/>
              <w:rPr>
                <w:rFonts w:ascii="仿宋_GB2312" w:hAnsi="仿宋_GB2312"/>
                <w:b/>
                <w:sz w:val="21"/>
                <w:szCs w:val="21"/>
              </w:rPr>
            </w:pPr>
            <w:r>
              <w:rPr>
                <w:rFonts w:hint="eastAsia" w:ascii="仿宋_GB2312" w:hAnsi="仿宋_GB2312"/>
                <w:b/>
                <w:sz w:val="21"/>
                <w:szCs w:val="21"/>
              </w:rPr>
              <w:t>主要指标</w:t>
            </w:r>
          </w:p>
        </w:tc>
        <w:tc>
          <w:tcPr>
            <w:tcW w:w="136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30" w:firstLineChars="14"/>
              <w:jc w:val="both"/>
              <w:textAlignment w:val="auto"/>
              <w:rPr>
                <w:rFonts w:ascii="仿宋_GB2312" w:hAnsi="仿宋_GB2312"/>
                <w:b/>
                <w:sz w:val="21"/>
                <w:szCs w:val="21"/>
              </w:rPr>
            </w:pPr>
            <w:r>
              <w:rPr>
                <w:rFonts w:hint="eastAsia" w:ascii="仿宋_GB2312" w:hAnsi="仿宋_GB2312"/>
                <w:b/>
                <w:sz w:val="21"/>
                <w:szCs w:val="21"/>
                <w:lang w:val="en-US" w:eastAsia="zh-CN"/>
              </w:rPr>
              <w:t>市</w:t>
            </w:r>
            <w:r>
              <w:rPr>
                <w:rFonts w:hint="eastAsia" w:ascii="仿宋_GB2312" w:hAnsi="仿宋_GB2312"/>
                <w:b/>
                <w:sz w:val="21"/>
                <w:szCs w:val="21"/>
              </w:rPr>
              <w:t>规划目标</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b/>
                <w:sz w:val="21"/>
                <w:szCs w:val="21"/>
              </w:rPr>
            </w:pPr>
            <w:r>
              <w:rPr>
                <w:rFonts w:hint="eastAsia" w:ascii="仿宋_GB2312" w:hAnsi="仿宋_GB2312"/>
                <w:b/>
                <w:sz w:val="21"/>
                <w:szCs w:val="21"/>
              </w:rPr>
              <w:t>2020年</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b/>
                <w:sz w:val="21"/>
                <w:szCs w:val="21"/>
                <w:lang w:val="en-US" w:eastAsia="zh-CN"/>
              </w:rPr>
            </w:pPr>
            <w:r>
              <w:rPr>
                <w:rFonts w:hint="eastAsia" w:ascii="仿宋_GB2312" w:hAnsi="仿宋_GB2312"/>
                <w:b/>
                <w:sz w:val="21"/>
                <w:szCs w:val="21"/>
                <w:lang w:val="en-US" w:eastAsia="zh-CN"/>
              </w:rPr>
              <w:t>县</w:t>
            </w:r>
            <w:r>
              <w:rPr>
                <w:rFonts w:hint="eastAsia" w:ascii="仿宋_GB2312" w:hAnsi="仿宋_GB2312"/>
                <w:b/>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708" w:type="dxa"/>
            <w:vMerge w:val="restart"/>
            <w:tcBorders>
              <w:left w:val="single" w:color="auto" w:sz="4" w:space="0"/>
              <w:right w:val="single" w:color="auto" w:sz="4" w:space="0"/>
            </w:tcBorders>
            <w:noWrap w:val="0"/>
            <w:vAlign w:val="center"/>
          </w:tcPr>
          <w:p>
            <w:pPr>
              <w:spacing w:line="240" w:lineRule="auto"/>
              <w:jc w:val="center"/>
              <w:rPr>
                <w:rFonts w:hint="eastAsia"/>
              </w:rPr>
            </w:pPr>
            <w:r>
              <w:rPr>
                <w:rFonts w:hint="eastAsia"/>
              </w:rPr>
              <w:t>健康</w:t>
            </w:r>
          </w:p>
          <w:p>
            <w:pPr>
              <w:spacing w:line="240" w:lineRule="auto"/>
              <w:jc w:val="center"/>
              <w:rPr>
                <w:rFonts w:hint="eastAsia"/>
              </w:rPr>
            </w:pPr>
            <w:r>
              <w:rPr>
                <w:rFonts w:hint="eastAsia"/>
              </w:rPr>
              <w:t>水平</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rPr>
              <w:t>人均预期寿命（岁）</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77.5</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rPr>
              <w:t>孕产妇死亡率（/10万）</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＜15</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rPr>
              <w:t>婴儿死亡率（‰）</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＜6</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Theme="minorEastAsia"/>
                <w:lang w:eastAsia="zh-CN"/>
              </w:rPr>
            </w:pPr>
            <w:r>
              <w:rPr>
                <w:rFonts w:hint="eastAsia"/>
              </w:rPr>
              <w:t>5岁以下儿童死亡率（‰</w:t>
            </w:r>
            <w:r>
              <w:rPr>
                <w:rFonts w:hint="eastAsia"/>
                <w:lang w:eastAsia="zh-CN"/>
              </w:rPr>
              <w:t>）</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rPr>
              <w:t>＜8</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08" w:type="dxa"/>
            <w:vMerge w:val="restart"/>
            <w:tcBorders>
              <w:left w:val="single" w:color="auto" w:sz="4" w:space="0"/>
              <w:right w:val="single" w:color="auto" w:sz="4" w:space="0"/>
            </w:tcBorders>
            <w:noWrap w:val="0"/>
            <w:vAlign w:val="center"/>
          </w:tcPr>
          <w:p>
            <w:pPr>
              <w:spacing w:line="240" w:lineRule="auto"/>
              <w:jc w:val="center"/>
              <w:rPr>
                <w:rFonts w:hint="eastAsia"/>
              </w:rPr>
            </w:pPr>
            <w:r>
              <w:rPr>
                <w:rFonts w:hint="eastAsia"/>
              </w:rPr>
              <w:t>疾病</w:t>
            </w:r>
          </w:p>
          <w:p>
            <w:pPr>
              <w:spacing w:line="240" w:lineRule="auto"/>
              <w:jc w:val="center"/>
              <w:rPr>
                <w:rFonts w:hint="eastAsia"/>
              </w:rPr>
            </w:pPr>
            <w:r>
              <w:rPr>
                <w:rFonts w:hint="eastAsia"/>
              </w:rPr>
              <w:t>防控</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居民健康素养水平（%）</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20</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以乡镇（街道）为单位适龄儿童免疫规划疫苗接种率（%）</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＞95</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肺结核发病率（/10万）</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69.5</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农村自来水普及率（%）</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＞90</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因心脑血管疾病、癌症、慢性呼吸系统疾病和糖尿病导致的过早死亡率（%）</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比2015年</w:t>
            </w:r>
          </w:p>
          <w:p>
            <w:pPr>
              <w:spacing w:line="240" w:lineRule="auto"/>
              <w:jc w:val="center"/>
              <w:rPr>
                <w:rFonts w:hint="eastAsia"/>
              </w:rPr>
            </w:pPr>
            <w:r>
              <w:rPr>
                <w:rFonts w:hint="eastAsia"/>
              </w:rPr>
              <w:t>降低5%</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708" w:type="dxa"/>
            <w:vMerge w:val="restart"/>
            <w:tcBorders>
              <w:left w:val="single" w:color="auto" w:sz="4" w:space="0"/>
              <w:right w:val="single" w:color="auto" w:sz="4" w:space="0"/>
            </w:tcBorders>
            <w:noWrap w:val="0"/>
            <w:vAlign w:val="center"/>
          </w:tcPr>
          <w:p>
            <w:pPr>
              <w:spacing w:line="240" w:lineRule="auto"/>
              <w:jc w:val="center"/>
              <w:rPr>
                <w:rFonts w:hint="eastAsia"/>
              </w:rPr>
            </w:pPr>
            <w:r>
              <w:rPr>
                <w:rFonts w:hint="eastAsia"/>
              </w:rPr>
              <w:t>妇幼</w:t>
            </w:r>
          </w:p>
          <w:p>
            <w:pPr>
              <w:spacing w:line="240" w:lineRule="auto"/>
              <w:jc w:val="center"/>
              <w:rPr>
                <w:rFonts w:hint="eastAsia"/>
              </w:rPr>
            </w:pPr>
            <w:r>
              <w:rPr>
                <w:rFonts w:hint="eastAsia"/>
              </w:rPr>
              <w:t>健康</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孕产妇系统管理率（%）</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＞90</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94.69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3岁以下儿童系统管理率（%）</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＞90</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90.65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孕前优生健康检查目标人群覆盖率（%）</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＞80</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708" w:type="dxa"/>
            <w:vMerge w:val="restart"/>
            <w:tcBorders>
              <w:left w:val="single" w:color="auto" w:sz="4" w:space="0"/>
              <w:right w:val="single" w:color="auto" w:sz="4" w:space="0"/>
            </w:tcBorders>
            <w:noWrap w:val="0"/>
            <w:vAlign w:val="center"/>
          </w:tcPr>
          <w:p>
            <w:pPr>
              <w:spacing w:line="240" w:lineRule="auto"/>
              <w:jc w:val="center"/>
              <w:rPr>
                <w:rFonts w:hint="eastAsia"/>
              </w:rPr>
            </w:pPr>
            <w:r>
              <w:rPr>
                <w:rFonts w:hint="eastAsia"/>
              </w:rPr>
              <w:t>计划</w:t>
            </w:r>
          </w:p>
          <w:p>
            <w:pPr>
              <w:spacing w:line="240" w:lineRule="auto"/>
              <w:jc w:val="center"/>
              <w:rPr>
                <w:rFonts w:hint="eastAsia"/>
              </w:rPr>
            </w:pPr>
            <w:r>
              <w:rPr>
                <w:rFonts w:hint="eastAsia"/>
              </w:rPr>
              <w:t>生育</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总人口（万人）</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270.32</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106.53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人口自然增长率（‰）</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11.5</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出生人口性别比</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105.50</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108.56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8" w:type="dxa"/>
            <w:vMerge w:val="restart"/>
            <w:tcBorders>
              <w:left w:val="single" w:color="auto" w:sz="4" w:space="0"/>
              <w:right w:val="single" w:color="auto" w:sz="4" w:space="0"/>
            </w:tcBorders>
            <w:noWrap w:val="0"/>
            <w:vAlign w:val="center"/>
          </w:tcPr>
          <w:p>
            <w:pPr>
              <w:spacing w:line="240" w:lineRule="auto"/>
              <w:jc w:val="center"/>
              <w:rPr>
                <w:rFonts w:hint="eastAsia"/>
              </w:rPr>
            </w:pPr>
            <w:r>
              <w:rPr>
                <w:rFonts w:hint="eastAsia"/>
              </w:rPr>
              <w:t>医疗</w:t>
            </w:r>
          </w:p>
          <w:p>
            <w:pPr>
              <w:spacing w:line="240" w:lineRule="auto"/>
              <w:jc w:val="center"/>
              <w:rPr>
                <w:rFonts w:hint="eastAsia"/>
              </w:rPr>
            </w:pPr>
            <w:r>
              <w:rPr>
                <w:rFonts w:hint="eastAsia"/>
              </w:rPr>
              <w:t>卫生</w:t>
            </w:r>
          </w:p>
          <w:p>
            <w:pPr>
              <w:spacing w:line="240" w:lineRule="auto"/>
              <w:jc w:val="center"/>
              <w:rPr>
                <w:rFonts w:hint="eastAsia"/>
              </w:rPr>
            </w:pPr>
            <w:r>
              <w:rPr>
                <w:rFonts w:hint="eastAsia"/>
              </w:rPr>
              <w:t>服务</w:t>
            </w:r>
          </w:p>
          <w:p>
            <w:pPr>
              <w:spacing w:line="240" w:lineRule="auto"/>
              <w:jc w:val="center"/>
              <w:rPr>
                <w:rFonts w:hint="eastAsia"/>
              </w:rPr>
            </w:pPr>
            <w:r>
              <w:rPr>
                <w:rFonts w:hint="eastAsia"/>
              </w:rPr>
              <w:t>体系</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lang w:val="en-US" w:eastAsia="zh-CN"/>
              </w:rPr>
              <w:t>每千常住人口</w:t>
            </w:r>
            <w:r>
              <w:rPr>
                <w:rFonts w:hint="eastAsia"/>
              </w:rPr>
              <w:t>医疗机构床位数（张）</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3.7</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每千常住人口执业（助理）医师数（人）</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2.2</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每千常住人口注册护士数（人）</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2.3</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lang w:val="en-US" w:eastAsia="zh-CN"/>
              </w:rPr>
              <w:t>每万</w:t>
            </w:r>
            <w:r>
              <w:rPr>
                <w:rFonts w:hint="eastAsia"/>
              </w:rPr>
              <w:t>常住人口全科医生数（人）</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3</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08" w:type="dxa"/>
            <w:vMerge w:val="continue"/>
            <w:tcBorders>
              <w:left w:val="single" w:color="auto" w:sz="4" w:space="0"/>
              <w:right w:val="single" w:color="auto" w:sz="4" w:space="0"/>
            </w:tcBorders>
            <w:noWrap w:val="0"/>
            <w:vAlign w:val="center"/>
          </w:tcPr>
          <w:p>
            <w:pPr>
              <w:spacing w:line="240" w:lineRule="auto"/>
              <w:jc w:val="center"/>
              <w:rPr>
                <w:rFonts w:hint="eastAsia"/>
              </w:rPr>
            </w:pP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rPr>
            </w:pPr>
            <w:r>
              <w:rPr>
                <w:rFonts w:hint="eastAsia"/>
              </w:rPr>
              <w:t>社会办医院床位占医院床位总数的比重（%）</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rPr>
            </w:pPr>
            <w:r>
              <w:rPr>
                <w:rFonts w:hint="eastAsia"/>
              </w:rPr>
              <w:t>＞30</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lang w:val="en-US" w:eastAsia="zh-CN"/>
              </w:rPr>
            </w:pPr>
            <w:r>
              <w:rPr>
                <w:rFonts w:hint="eastAsia"/>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trPr>
        <w:tc>
          <w:tcPr>
            <w:tcW w:w="708" w:type="dxa"/>
            <w:tcBorders>
              <w:top w:val="single" w:color="auto" w:sz="4" w:space="0"/>
              <w:left w:val="single" w:color="auto" w:sz="4" w:space="0"/>
              <w:right w:val="single" w:color="auto" w:sz="4" w:space="0"/>
            </w:tcBorders>
            <w:noWrap w:val="0"/>
            <w:vAlign w:val="center"/>
          </w:tcPr>
          <w:p>
            <w:pPr>
              <w:spacing w:line="240" w:lineRule="auto"/>
              <w:jc w:val="center"/>
              <w:rPr>
                <w:rFonts w:hint="eastAsia"/>
              </w:rPr>
            </w:pPr>
            <w:r>
              <w:rPr>
                <w:rFonts w:hint="eastAsia"/>
              </w:rPr>
              <w:t>医疗</w:t>
            </w:r>
          </w:p>
          <w:p>
            <w:pPr>
              <w:spacing w:line="240" w:lineRule="auto"/>
              <w:jc w:val="center"/>
              <w:rPr>
                <w:rFonts w:hint="eastAsia"/>
              </w:rPr>
            </w:pPr>
            <w:r>
              <w:rPr>
                <w:rFonts w:hint="eastAsia"/>
              </w:rPr>
              <w:t>卫生</w:t>
            </w:r>
          </w:p>
          <w:p>
            <w:pPr>
              <w:spacing w:line="240" w:lineRule="auto"/>
              <w:jc w:val="center"/>
              <w:rPr>
                <w:rFonts w:hint="eastAsia"/>
              </w:rPr>
            </w:pPr>
            <w:r>
              <w:rPr>
                <w:rFonts w:hint="eastAsia"/>
              </w:rPr>
              <w:t>保障</w:t>
            </w:r>
          </w:p>
          <w:p>
            <w:pPr>
              <w:spacing w:line="240" w:lineRule="auto"/>
              <w:jc w:val="center"/>
              <w:rPr>
                <w:rFonts w:hint="eastAsia"/>
              </w:rPr>
            </w:pPr>
            <w:r>
              <w:rPr>
                <w:rFonts w:hint="eastAsia"/>
              </w:rPr>
              <w:t>政策</w:t>
            </w:r>
          </w:p>
        </w:tc>
        <w:tc>
          <w:tcPr>
            <w:tcW w:w="5232" w:type="dxa"/>
            <w:tcBorders>
              <w:top w:val="single" w:color="auto" w:sz="4" w:space="0"/>
              <w:left w:val="single" w:color="auto" w:sz="4" w:space="0"/>
              <w:right w:val="single" w:color="auto" w:sz="4" w:space="0"/>
            </w:tcBorders>
            <w:noWrap w:val="0"/>
            <w:vAlign w:val="center"/>
          </w:tcPr>
          <w:p>
            <w:pPr>
              <w:spacing w:line="240" w:lineRule="auto"/>
              <w:jc w:val="left"/>
              <w:rPr>
                <w:rFonts w:hint="eastAsia"/>
              </w:rPr>
            </w:pPr>
            <w:r>
              <w:rPr>
                <w:rFonts w:hint="eastAsia"/>
              </w:rPr>
              <w:t>政策范围内住院费用医保基金支付比例（%）</w:t>
            </w:r>
          </w:p>
        </w:tc>
        <w:tc>
          <w:tcPr>
            <w:tcW w:w="1368" w:type="dxa"/>
            <w:tcBorders>
              <w:top w:val="single" w:color="auto" w:sz="4" w:space="0"/>
              <w:left w:val="single" w:color="auto" w:sz="4" w:space="0"/>
              <w:right w:val="single" w:color="auto" w:sz="4" w:space="0"/>
            </w:tcBorders>
            <w:noWrap w:val="0"/>
            <w:vAlign w:val="center"/>
          </w:tcPr>
          <w:p>
            <w:pPr>
              <w:spacing w:line="240" w:lineRule="auto"/>
              <w:jc w:val="center"/>
              <w:rPr>
                <w:rFonts w:hint="eastAsia"/>
              </w:rPr>
            </w:pPr>
            <w:r>
              <w:rPr>
                <w:rFonts w:hint="eastAsia"/>
              </w:rPr>
              <w:t>75%</w:t>
            </w:r>
          </w:p>
        </w:tc>
        <w:tc>
          <w:tcPr>
            <w:tcW w:w="1818" w:type="dxa"/>
            <w:tcBorders>
              <w:top w:val="single" w:color="auto" w:sz="4" w:space="0"/>
              <w:left w:val="single" w:color="auto" w:sz="4" w:space="0"/>
              <w:right w:val="single" w:color="auto" w:sz="4" w:space="0"/>
            </w:tcBorders>
            <w:noWrap w:val="0"/>
            <w:vAlign w:val="center"/>
          </w:tcPr>
          <w:p>
            <w:pPr>
              <w:spacing w:line="240" w:lineRule="auto"/>
              <w:jc w:val="center"/>
              <w:rPr>
                <w:rFonts w:hint="eastAsia"/>
              </w:rPr>
            </w:pPr>
            <w:r>
              <w:rPr>
                <w:rFonts w:hint="eastAsia"/>
              </w:rPr>
              <w:t>一级医疗机构居民90%，职工95%;</w:t>
            </w:r>
          </w:p>
          <w:p>
            <w:pPr>
              <w:spacing w:line="240" w:lineRule="auto"/>
              <w:jc w:val="center"/>
              <w:rPr>
                <w:rFonts w:hint="eastAsia"/>
              </w:rPr>
            </w:pPr>
            <w:r>
              <w:rPr>
                <w:rFonts w:hint="eastAsia"/>
              </w:rPr>
              <w:t>二级医疗机构85%，职工90%</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default" w:asciiTheme="majorEastAsia" w:hAnsiTheme="majorEastAsia" w:eastAsiaTheme="majorEastAsia" w:cstheme="majorEastAsia"/>
          <w:b/>
          <w:bCs/>
          <w:sz w:val="32"/>
          <w:szCs w:val="32"/>
          <w:lang w:val="en-US" w:eastAsia="zh-CN"/>
        </w:rPr>
      </w:pPr>
      <w:bookmarkStart w:id="12" w:name="_Toc27912_WPSOffice_Level2"/>
      <w:r>
        <w:rPr>
          <w:rFonts w:hint="eastAsia" w:asciiTheme="majorEastAsia" w:hAnsiTheme="majorEastAsia" w:eastAsiaTheme="majorEastAsia" w:cstheme="majorEastAsia"/>
          <w:b/>
          <w:bCs/>
          <w:sz w:val="32"/>
          <w:szCs w:val="32"/>
          <w:lang w:val="en-US" w:eastAsia="zh-CN"/>
        </w:rPr>
        <w:t>（二）形势与挑战</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13" w:name="_Toc2056_WPSOffice_Level3"/>
      <w:r>
        <w:rPr>
          <w:rFonts w:hint="eastAsia" w:ascii="仿宋" w:hAnsi="仿宋" w:eastAsia="仿宋" w:cs="仿宋"/>
          <w:b/>
          <w:bCs/>
          <w:sz w:val="32"/>
          <w:szCs w:val="32"/>
          <w:lang w:val="en-US" w:eastAsia="zh-CN"/>
        </w:rPr>
        <w:t>1.面临的形势</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当前</w:t>
      </w:r>
      <w:r>
        <w:rPr>
          <w:rFonts w:hint="eastAsia" w:ascii="仿宋" w:hAnsi="仿宋" w:eastAsia="仿宋" w:cs="仿宋"/>
          <w:sz w:val="32"/>
          <w:szCs w:val="32"/>
          <w:highlight w:val="none"/>
          <w:lang w:eastAsia="zh-CN"/>
        </w:rPr>
        <w:t>卫生健康事业发展将会面临着更多的不确定性和挑战，</w:t>
      </w:r>
      <w:r>
        <w:rPr>
          <w:rFonts w:hint="eastAsia" w:ascii="仿宋" w:hAnsi="仿宋" w:eastAsia="仿宋" w:cs="仿宋"/>
          <w:sz w:val="32"/>
          <w:szCs w:val="32"/>
          <w:highlight w:val="none"/>
          <w:lang w:val="en-US" w:eastAsia="zh-CN"/>
        </w:rPr>
        <w:t>特别是</w:t>
      </w:r>
      <w:r>
        <w:rPr>
          <w:rFonts w:hint="eastAsia" w:ascii="仿宋" w:hAnsi="仿宋" w:eastAsia="仿宋" w:cs="仿宋"/>
          <w:sz w:val="32"/>
          <w:szCs w:val="32"/>
          <w:highlight w:val="none"/>
          <w:lang w:eastAsia="zh-CN"/>
        </w:rPr>
        <w:t>重大公共卫生事件与新冠肺炎疫情的冲击和挑战。</w:t>
      </w:r>
      <w:r>
        <w:rPr>
          <w:rFonts w:hint="eastAsia" w:ascii="仿宋" w:hAnsi="仿宋" w:eastAsia="仿宋" w:cs="仿宋"/>
          <w:sz w:val="32"/>
          <w:szCs w:val="32"/>
          <w:highlight w:val="none"/>
          <w:lang w:val="en-US" w:eastAsia="zh-CN"/>
        </w:rPr>
        <w:t>建设健康饶平、健康潮州、健康广东，实现“人人享有基本医疗卫生服务”，进一步提高人民健康生活水平是新时期的重要使命和任务。经济社会持续快速发展，也为卫生健康事业发展提供了有力支撑。城镇化、人口老龄化、疾病谱变化对健康服务供给提出了新需求；加快构建“一城一廊一海湾”饶平发展新格局，对卫生健康资源配置提出了新要求；实现“建设卫生强县，打造健康饶平”奋斗目标，为卫生健康事业持续发展提供了新动力。“十四五”时期是建设卫生强县，打造健康饶平的关键期。云计算、物联网、人工智能、大数据等信息化技术的快速发展，为优化医疗卫生业务流程、提高服务效率提供了新条件，也为推动卫生健康服务模式和管理模式的深刻转变带来了新机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14" w:name="_Toc27281_WPSOffice_Level3"/>
      <w:r>
        <w:rPr>
          <w:rFonts w:hint="eastAsia" w:ascii="仿宋" w:hAnsi="仿宋" w:eastAsia="仿宋" w:cs="仿宋"/>
          <w:b/>
          <w:bCs/>
          <w:sz w:val="32"/>
          <w:szCs w:val="32"/>
          <w:lang w:val="en-US" w:eastAsia="zh-CN"/>
        </w:rPr>
        <w:t>2.未来的挑战</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五”时期，我县卫生健康事业发展仍面临不少困难和挑战，发展水平落后，创新能力不强，资源配置结构依然不合理、不均衡，医疗卫生人才队伍缺口仍然较大，优质医疗资源缺乏、基层服务能力薄弱等问题仍然存在。医疗卫生和公共卫生体系建设还存在不少短板弱项，新发突发传染病疫情风险长期存在，艾滋病、结核病、性病等重大传染病防控形势依然严峻；高血压、糖尿病、心脑血管疾病、肿瘤等慢性非传染性疾病已成为主要的健康问题，不良生活习惯成为影响健康的重要因素，职业卫生、环境安全、食品安全等多种影响健康因素相互交织，给人民群众健康带来严重威胁。人口老龄化加速，医疗卫生资源供需矛盾更加突出。随着深化医药卫生体制改革步入攻坚阶段，一些深层次矛盾问题日益凸显。机遇与挑战并存，对卫生健康事业发展和全民健康水平提高提出了新任务、新要求。</w:t>
      </w:r>
    </w:p>
    <w:p>
      <w:pPr>
        <w:pStyle w:val="5"/>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line="560" w:lineRule="exact"/>
        <w:ind w:leftChars="0" w:firstLine="643" w:firstLineChars="200"/>
        <w:textAlignment w:val="auto"/>
        <w:rPr>
          <w:rFonts w:hint="eastAsia"/>
          <w:sz w:val="32"/>
          <w:szCs w:val="32"/>
          <w:lang w:val="en-US" w:eastAsia="zh-CN"/>
        </w:rPr>
      </w:pPr>
      <w:bookmarkStart w:id="15" w:name="_Toc19618_WPSOffice_Level1"/>
      <w:r>
        <w:rPr>
          <w:rFonts w:hint="eastAsia"/>
          <w:sz w:val="32"/>
          <w:szCs w:val="32"/>
          <w:lang w:val="en-US" w:eastAsia="zh-CN"/>
        </w:rPr>
        <w:t>二、总体要求</w:t>
      </w:r>
      <w:bookmarkEnd w:id="15"/>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16" w:name="_Toc19618_WPSOffice_Level2"/>
      <w:r>
        <w:rPr>
          <w:rFonts w:hint="eastAsia" w:asciiTheme="majorEastAsia" w:hAnsiTheme="majorEastAsia" w:eastAsiaTheme="majorEastAsia" w:cstheme="majorEastAsia"/>
          <w:b/>
          <w:bCs/>
          <w:sz w:val="32"/>
          <w:szCs w:val="32"/>
          <w:lang w:val="en-US" w:eastAsia="zh-CN"/>
        </w:rPr>
        <w:t>（一）指导思想</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以习近平新时代中国特色社会主义思想为指导，认真贯彻落实党中央重大决策和省、市、县各级工作部署，紧紧围绕县委、县政府“加快构建‘一城一廊一海湾’饶平发展新格局”的使命任务，按照实现“建设卫生强县，打造健康饶平”奋斗目标，大力实施推进医疗卫生健康事业发展改革，坚持把保障人民健康放在优先发展的战略位置，坚持新时期卫生健康工作方针，坚持完善生育配套政策，以保障人民生命安全和身体健康为中心，统筹疫情防控和卫生健康事业发展，注重预防为主和风险防范、提高质量和促进区域城乡协调发展，加快构建优质高效的整合型医疗卫生服务体系，全方位全周期保障人民健康，筑牢生命健康防线，奋力推动饶平卫生健康事业发展，创造新辉煌。 </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17" w:name="_Toc28003_WPSOffice_Level2"/>
      <w:r>
        <w:rPr>
          <w:rFonts w:hint="eastAsia" w:asciiTheme="majorEastAsia" w:hAnsiTheme="majorEastAsia" w:eastAsiaTheme="majorEastAsia" w:cstheme="majorEastAsia"/>
          <w:b/>
          <w:bCs/>
          <w:sz w:val="32"/>
          <w:szCs w:val="32"/>
          <w:lang w:val="en-US" w:eastAsia="zh-CN"/>
        </w:rPr>
        <w:t>（二）基本原则</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18" w:name="_Toc28459_WPSOffice_Level3"/>
      <w:r>
        <w:rPr>
          <w:rFonts w:hint="eastAsia" w:ascii="仿宋" w:hAnsi="仿宋" w:eastAsia="仿宋" w:cs="仿宋"/>
          <w:b/>
          <w:bCs/>
          <w:sz w:val="32"/>
          <w:szCs w:val="32"/>
          <w:lang w:val="en-US" w:eastAsia="zh-CN"/>
        </w:rPr>
        <w:t>1.健康优先，促进公平</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把维护人民群众健康权益放在首位，以解决人民群众主要健康问题、满足健康需求为导向，深化供给侧结构性改革，进一步提高基本医疗卫生服务公平性和可及性，大力推动城乡医疗卫生基本公共服务均等化，努力提高人民群众健康水平，使全县人民更多、更公平地共享卫生健康发展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19" w:name="_Toc10155_WPSOffice_Level3"/>
      <w:r>
        <w:rPr>
          <w:rFonts w:hint="eastAsia" w:ascii="仿宋" w:hAnsi="仿宋" w:eastAsia="仿宋" w:cs="仿宋"/>
          <w:b/>
          <w:bCs/>
          <w:sz w:val="32"/>
          <w:szCs w:val="32"/>
          <w:lang w:val="en-US" w:eastAsia="zh-CN"/>
        </w:rPr>
        <w:t>2.创新发展、注重实效</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力推进卫生健康领域理论创新、制度创新、管理创新、技术创新。统筹推进医疗保障、医疗服务、药品供应、公共卫生、监管体制综合改革，进一步凝聚改革合力，推动医保、医药、医疗“三医”联动，提升群众健康保障水平。推动医学模式转变，推进医疗卫生行业创新战略，创新服务模式，改善服务绩效，更加注重预防为主和风险防范，更加注重提高质量和促进均衡，更加注重资源下沉和系统协作，进一步增强人民群众改革获得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20" w:name="_Toc2675_WPSOffice_Level3"/>
      <w:r>
        <w:rPr>
          <w:rFonts w:hint="eastAsia" w:ascii="仿宋" w:hAnsi="仿宋" w:eastAsia="仿宋" w:cs="仿宋"/>
          <w:b/>
          <w:bCs/>
          <w:sz w:val="32"/>
          <w:szCs w:val="32"/>
          <w:lang w:val="en-US" w:eastAsia="zh-CN"/>
        </w:rPr>
        <w:t>3.对标最优、推动共享</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健康饶平工作目标，立足提供更高水平更高质量的健康服务，全面实施精准防治策略，加强重大疾病防治科研攻关，打造具有饶平特色的健康服务品牌，不断满足群众对高品质健康生活的期盼。全面提升医疗服务能力水平，推动卫生健康资源共享，推进全县卫生健康事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21" w:name="_Toc24505_WPSOffice_Level3"/>
      <w:r>
        <w:rPr>
          <w:rFonts w:hint="eastAsia" w:ascii="仿宋" w:hAnsi="仿宋" w:eastAsia="仿宋" w:cs="仿宋"/>
          <w:b/>
          <w:bCs/>
          <w:sz w:val="32"/>
          <w:szCs w:val="32"/>
          <w:lang w:val="en-US" w:eastAsia="zh-CN"/>
        </w:rPr>
        <w:t>4.政府主导、社会参与</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学界定政府和市场边界，正确处理政府和市场关系。落实政府在基本医疗卫生服务领域中的领导、保障、管理和监督责任，坚持基本医疗卫生事业公益性。增强非基本医疗卫生服务领域市场活力，积极发挥市场机制作用，增加医疗卫生资源供给、优化结构，鼓励社会力量办医，提供多层次医疗卫生服务。坚持将健康融入所有政策的理念，动员全社会力量共同维护群众健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22" w:name="_Toc16315_WPSOffice_Level3"/>
      <w:r>
        <w:rPr>
          <w:rFonts w:hint="eastAsia" w:ascii="仿宋" w:hAnsi="仿宋" w:eastAsia="仿宋" w:cs="仿宋"/>
          <w:b/>
          <w:bCs/>
          <w:sz w:val="32"/>
          <w:szCs w:val="32"/>
          <w:lang w:val="en-US" w:eastAsia="zh-CN"/>
        </w:rPr>
        <w:t>5.先行先试，引领示范</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充分抓住机遇和政策契机，结合本县医疗卫生现状，积极开展体制机制方面的创新探索，特别是在县域医共体、分级诊疗、公立医院改革、人事薪酬制度、编制管理、药品供应保障、人才引进培养等重点难点问题上的突破，充分调动医务人员积极性，进一步提升医疗服务能力和运行效率，构建优质高效的医疗卫生服务体系。</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23" w:name="_Toc14560_WPSOffice_Level2"/>
      <w:r>
        <w:rPr>
          <w:rFonts w:hint="eastAsia" w:asciiTheme="majorEastAsia" w:hAnsiTheme="majorEastAsia" w:eastAsiaTheme="majorEastAsia" w:cstheme="majorEastAsia"/>
          <w:b/>
          <w:bCs/>
          <w:sz w:val="32"/>
          <w:szCs w:val="32"/>
          <w:lang w:val="en-US" w:eastAsia="zh-CN"/>
        </w:rPr>
        <w:t>（三）发展目标</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到2025年，建设卫生强县，打造健康饶平取得显著成效，基本医疗卫生制度进一步完善、定型，优质高效整合型卫生健康服务体系进一步完善，人均预期寿命保持省内平均水平，居民主要健康指标稳步提高。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24" w:name="_Toc13862_WPSOffice_Level3"/>
      <w:r>
        <w:rPr>
          <w:rFonts w:hint="eastAsia" w:ascii="仿宋" w:hAnsi="仿宋" w:eastAsia="仿宋" w:cs="仿宋"/>
          <w:b/>
          <w:bCs/>
          <w:sz w:val="32"/>
          <w:szCs w:val="32"/>
          <w:lang w:val="en-US" w:eastAsia="zh-CN"/>
        </w:rPr>
        <w:t>1.城乡居民健康水平进一步完善</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人均期望寿命达到</w:t>
      </w:r>
      <w:r>
        <w:rPr>
          <w:rFonts w:hint="eastAsia" w:ascii="仿宋" w:hAnsi="仿宋" w:eastAsia="仿宋" w:cs="仿宋"/>
          <w:sz w:val="32"/>
          <w:szCs w:val="32"/>
          <w:lang w:val="en-US" w:eastAsia="zh-CN"/>
        </w:rPr>
        <w:t>82</w:t>
      </w:r>
      <w:r>
        <w:rPr>
          <w:rFonts w:hint="eastAsia" w:ascii="仿宋" w:hAnsi="仿宋" w:eastAsia="仿宋" w:cs="仿宋"/>
          <w:sz w:val="32"/>
          <w:szCs w:val="32"/>
        </w:rPr>
        <w:t>岁</w:t>
      </w:r>
      <w:r>
        <w:rPr>
          <w:rFonts w:hint="eastAsia" w:ascii="仿宋" w:hAnsi="仿宋" w:eastAsia="仿宋" w:cs="仿宋"/>
          <w:sz w:val="32"/>
          <w:szCs w:val="32"/>
          <w:lang w:val="en-US" w:eastAsia="zh-CN"/>
        </w:rPr>
        <w:t>以上</w:t>
      </w:r>
      <w:r>
        <w:rPr>
          <w:rFonts w:hint="eastAsia" w:ascii="仿宋" w:hAnsi="仿宋" w:eastAsia="仿宋" w:cs="仿宋"/>
          <w:sz w:val="32"/>
          <w:szCs w:val="32"/>
        </w:rPr>
        <w:t>，孕产妇死亡率</w:t>
      </w:r>
      <w:r>
        <w:rPr>
          <w:rFonts w:hint="eastAsia" w:ascii="仿宋" w:hAnsi="仿宋" w:eastAsia="仿宋" w:cs="仿宋"/>
          <w:sz w:val="32"/>
          <w:szCs w:val="32"/>
          <w:lang w:val="en-US" w:eastAsia="zh-CN"/>
        </w:rPr>
        <w:t>低于8</w:t>
      </w:r>
      <w:r>
        <w:rPr>
          <w:rFonts w:hint="eastAsia" w:ascii="仿宋" w:hAnsi="仿宋" w:eastAsia="仿宋" w:cs="仿宋"/>
          <w:sz w:val="32"/>
          <w:szCs w:val="32"/>
        </w:rPr>
        <w:t>/10万，婴儿死亡率降至</w:t>
      </w:r>
      <w:r>
        <w:rPr>
          <w:rFonts w:hint="eastAsia" w:ascii="仿宋" w:hAnsi="仿宋" w:eastAsia="仿宋" w:cs="仿宋"/>
          <w:sz w:val="32"/>
          <w:szCs w:val="32"/>
          <w:lang w:val="en-US" w:eastAsia="zh-CN"/>
        </w:rPr>
        <w:t>低于3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25" w:name="_Toc11713_WPSOffice_Level3"/>
      <w:r>
        <w:rPr>
          <w:rFonts w:hint="eastAsia" w:ascii="仿宋" w:hAnsi="仿宋" w:eastAsia="仿宋" w:cs="仿宋"/>
          <w:b/>
          <w:bCs/>
          <w:sz w:val="32"/>
          <w:szCs w:val="32"/>
          <w:lang w:val="en-US" w:eastAsia="zh-CN"/>
        </w:rPr>
        <w:t>2.基本医疗卫生制度体系更加成熟定型</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基本医疗卫生制度进一步完善、定型，治理体系和治理能力现代化水平不断提升，健康融入所有政策取得积极进展。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26" w:name="_Toc7119_WPSOffice_Level3"/>
      <w:r>
        <w:rPr>
          <w:rFonts w:hint="eastAsia" w:ascii="仿宋" w:hAnsi="仿宋" w:eastAsia="仿宋" w:cs="仿宋"/>
          <w:b/>
          <w:bCs/>
          <w:sz w:val="32"/>
          <w:szCs w:val="32"/>
          <w:lang w:val="en-US" w:eastAsia="zh-CN"/>
        </w:rPr>
        <w:t>3.公共卫生安全保障能力显著增强</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疾病预防控制体系明显改善，应对突发重大公共卫生事件的能力和水平不断提升。影响健康的危险因素得到积极治理，全面健康素养水平稳步提高。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27" w:name="_Toc25269_WPSOffice_Level3"/>
      <w:r>
        <w:rPr>
          <w:rFonts w:hint="eastAsia" w:ascii="仿宋" w:hAnsi="仿宋" w:eastAsia="仿宋" w:cs="仿宋"/>
          <w:b/>
          <w:bCs/>
          <w:sz w:val="32"/>
          <w:szCs w:val="32"/>
          <w:lang w:val="en-US" w:eastAsia="zh-CN"/>
        </w:rPr>
        <w:t>4.健康服务水平和质量大幅提升</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创新卫生健康服务模式，覆盖全生命周期、内涵丰富、结构合理的健康服务供给体系基本建立，健康保障体系进一步完善，卫生健康服务公平可及、系统连续。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28" w:name="_Toc27587_WPSOffice_Level3"/>
      <w:r>
        <w:rPr>
          <w:rFonts w:hint="eastAsia" w:ascii="仿宋" w:hAnsi="仿宋" w:eastAsia="仿宋" w:cs="仿宋"/>
          <w:b/>
          <w:bCs/>
          <w:sz w:val="32"/>
          <w:szCs w:val="32"/>
          <w:lang w:val="en-US" w:eastAsia="zh-CN"/>
        </w:rPr>
        <w:t>5.健康科技创新能力明显增强</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 w:hAnsi="仿宋" w:eastAsia="仿宋" w:cs="仿宋"/>
          <w:sz w:val="32"/>
          <w:szCs w:val="32"/>
          <w:lang w:val="en-US" w:eastAsia="zh-CN"/>
        </w:rPr>
        <w:t>注重卫生与健康科技创新能力培养，科技手段在卫生健康领域的应用持续深化，在保障人民健康和促进健康饶平建设中发挥更加突出的引领支撑作用。远期展望至2035年，促进全民健康的制度体系更加完善，健康领域发展更加协调，健康生活方式得到普及，健康服务质量和健康保障水平不断提高，主要健康指标保持较高水平，全面完成健康饶平建设工作。</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olor w:val="000000"/>
          <w:sz w:val="30"/>
          <w:szCs w:val="30"/>
        </w:rPr>
      </w:pPr>
      <w:bookmarkStart w:id="29" w:name="_Toc17541_WPSOffice_Level3"/>
      <w:r>
        <w:rPr>
          <w:rFonts w:hint="eastAsia" w:ascii="黑体" w:hAnsi="黑体" w:eastAsia="黑体"/>
          <w:color w:val="000000"/>
          <w:sz w:val="30"/>
          <w:szCs w:val="30"/>
          <w:lang w:val="en-US" w:eastAsia="zh-CN"/>
        </w:rPr>
        <w:t>饶平县卫生健康事业发展</w:t>
      </w:r>
      <w:r>
        <w:rPr>
          <w:rFonts w:hint="eastAsia" w:ascii="黑体" w:hAnsi="黑体" w:eastAsia="黑体"/>
          <w:color w:val="000000"/>
          <w:sz w:val="30"/>
          <w:szCs w:val="30"/>
        </w:rPr>
        <w:t>“十四五”规划主要工作指标</w:t>
      </w:r>
      <w:bookmarkEnd w:id="29"/>
    </w:p>
    <w:tbl>
      <w:tblPr>
        <w:tblStyle w:val="13"/>
        <w:tblW w:w="10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52"/>
        <w:gridCol w:w="421"/>
        <w:gridCol w:w="2088"/>
        <w:gridCol w:w="587"/>
        <w:gridCol w:w="774"/>
        <w:gridCol w:w="816"/>
        <w:gridCol w:w="780"/>
        <w:gridCol w:w="840"/>
        <w:gridCol w:w="828"/>
        <w:gridCol w:w="852"/>
        <w:gridCol w:w="834"/>
        <w:gridCol w:w="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2" w:hRule="atLeast"/>
          <w:tblHeader/>
          <w:jc w:val="center"/>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ascii="Times New Roman" w:hAnsi="Times New Roman" w:eastAsia="黑体" w:cs="Times New Roman"/>
                <w:bCs/>
                <w:sz w:val="18"/>
                <w:szCs w:val="18"/>
              </w:rPr>
            </w:pPr>
            <w:r>
              <w:rPr>
                <w:rFonts w:ascii="Times New Roman" w:hAnsi="Times New Roman" w:eastAsia="黑体" w:cs="Times New Roman"/>
                <w:bCs/>
                <w:kern w:val="0"/>
                <w:sz w:val="18"/>
                <w:szCs w:val="18"/>
              </w:rPr>
              <w:t>领域</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left="0" w:leftChars="0" w:firstLine="0" w:firstLineChars="0"/>
              <w:jc w:val="center"/>
              <w:textAlignment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序号</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left="0" w:leftChars="0" w:firstLine="0" w:firstLineChars="0"/>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rPr>
              <w:t>主要指标</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left="0" w:leftChars="0" w:firstLine="0" w:firstLineChars="0"/>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rPr>
              <w:t>单位</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left="0" w:leftChars="0" w:firstLine="0" w:firstLineChars="0"/>
              <w:jc w:val="center"/>
              <w:textAlignment w:val="center"/>
              <w:rPr>
                <w:rFonts w:hint="eastAsia" w:ascii="黑体" w:hAnsi="黑体" w:eastAsia="黑体" w:cs="黑体"/>
                <w:bCs/>
                <w:kern w:val="0"/>
                <w:sz w:val="18"/>
                <w:szCs w:val="18"/>
              </w:rPr>
            </w:pPr>
            <w:r>
              <w:rPr>
                <w:rFonts w:hint="eastAsia" w:ascii="黑体" w:hAnsi="黑体" w:eastAsia="黑体" w:cs="黑体"/>
                <w:bCs/>
                <w:kern w:val="0"/>
                <w:sz w:val="18"/>
                <w:szCs w:val="18"/>
              </w:rPr>
              <w:t>2020年</w:t>
            </w:r>
          </w:p>
          <w:p>
            <w:pPr>
              <w:widowControl/>
              <w:spacing w:line="200" w:lineRule="atLeast"/>
              <w:ind w:firstLineChars="0"/>
              <w:jc w:val="center"/>
              <w:textAlignment w:val="center"/>
              <w:rPr>
                <w:rFonts w:hint="eastAsia" w:ascii="黑体" w:hAnsi="黑体" w:eastAsia="黑体" w:cs="黑体"/>
                <w:bCs/>
                <w:kern w:val="0"/>
                <w:sz w:val="18"/>
                <w:szCs w:val="18"/>
              </w:rPr>
            </w:pPr>
            <w:r>
              <w:rPr>
                <w:rFonts w:hint="eastAsia" w:ascii="黑体" w:hAnsi="黑体" w:eastAsia="黑体" w:cs="黑体"/>
                <w:bCs/>
                <w:kern w:val="0"/>
                <w:sz w:val="18"/>
                <w:szCs w:val="18"/>
                <w:lang w:val="en-US" w:eastAsia="zh-CN"/>
              </w:rPr>
              <w:t>县</w:t>
            </w:r>
            <w:r>
              <w:rPr>
                <w:rFonts w:hint="eastAsia" w:ascii="黑体" w:hAnsi="黑体" w:eastAsia="黑体" w:cs="黑体"/>
                <w:bCs/>
                <w:kern w:val="0"/>
                <w:sz w:val="18"/>
                <w:szCs w:val="18"/>
              </w:rPr>
              <w:t>现状</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left="0" w:leftChars="0" w:firstLine="0" w:firstLineChars="0"/>
              <w:jc w:val="center"/>
              <w:textAlignment w:val="center"/>
              <w:rPr>
                <w:rFonts w:hint="eastAsia" w:ascii="黑体" w:hAnsi="黑体" w:eastAsia="黑体" w:cs="黑体"/>
                <w:bCs/>
                <w:kern w:val="0"/>
                <w:sz w:val="18"/>
                <w:szCs w:val="18"/>
              </w:rPr>
            </w:pPr>
            <w:r>
              <w:rPr>
                <w:rFonts w:hint="eastAsia" w:ascii="黑体" w:hAnsi="黑体" w:eastAsia="黑体" w:cs="黑体"/>
                <w:bCs/>
                <w:kern w:val="0"/>
                <w:sz w:val="18"/>
                <w:szCs w:val="18"/>
              </w:rPr>
              <w:t>202</w:t>
            </w:r>
            <w:r>
              <w:rPr>
                <w:rFonts w:hint="eastAsia" w:ascii="黑体" w:hAnsi="黑体" w:eastAsia="黑体" w:cs="黑体"/>
                <w:bCs/>
                <w:kern w:val="0"/>
                <w:sz w:val="18"/>
                <w:szCs w:val="18"/>
                <w:lang w:val="en-US" w:eastAsia="zh-CN"/>
              </w:rPr>
              <w:t>1</w:t>
            </w:r>
            <w:r>
              <w:rPr>
                <w:rFonts w:hint="eastAsia" w:ascii="黑体" w:hAnsi="黑体" w:eastAsia="黑体" w:cs="黑体"/>
                <w:bCs/>
                <w:kern w:val="0"/>
                <w:sz w:val="18"/>
                <w:szCs w:val="18"/>
              </w:rPr>
              <w:t>年</w:t>
            </w:r>
          </w:p>
          <w:p>
            <w:pPr>
              <w:widowControl/>
              <w:spacing w:line="200" w:lineRule="atLeast"/>
              <w:ind w:firstLineChars="0"/>
              <w:jc w:val="center"/>
              <w:textAlignment w:val="center"/>
              <w:rPr>
                <w:rFonts w:hint="eastAsia" w:ascii="黑体" w:hAnsi="黑体" w:eastAsia="黑体" w:cs="黑体"/>
                <w:bCs/>
                <w:kern w:val="0"/>
                <w:sz w:val="18"/>
                <w:szCs w:val="18"/>
                <w:lang w:val="en-US" w:eastAsia="zh-CN"/>
              </w:rPr>
            </w:pPr>
            <w:r>
              <w:rPr>
                <w:rFonts w:hint="eastAsia" w:ascii="黑体" w:hAnsi="黑体" w:eastAsia="黑体" w:cs="黑体"/>
                <w:bCs/>
                <w:kern w:val="0"/>
                <w:sz w:val="18"/>
                <w:szCs w:val="18"/>
                <w:lang w:val="en-US" w:eastAsia="zh-CN"/>
              </w:rPr>
              <w:t>县</w:t>
            </w:r>
            <w:r>
              <w:rPr>
                <w:rFonts w:hint="eastAsia" w:ascii="黑体" w:hAnsi="黑体" w:eastAsia="黑体" w:cs="黑体"/>
                <w:bCs/>
                <w:kern w:val="0"/>
                <w:sz w:val="18"/>
                <w:szCs w:val="18"/>
              </w:rPr>
              <w:t>现状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left="0" w:leftChars="0" w:firstLine="0" w:firstLineChars="0"/>
              <w:jc w:val="center"/>
              <w:textAlignment w:val="center"/>
              <w:rPr>
                <w:rFonts w:hint="eastAsia" w:ascii="黑体" w:hAnsi="黑体" w:eastAsia="黑体" w:cs="黑体"/>
                <w:bCs/>
                <w:kern w:val="0"/>
                <w:sz w:val="18"/>
                <w:szCs w:val="18"/>
              </w:rPr>
            </w:pPr>
            <w:r>
              <w:rPr>
                <w:rFonts w:hint="eastAsia" w:ascii="黑体" w:hAnsi="黑体" w:eastAsia="黑体" w:cs="黑体"/>
                <w:bCs/>
                <w:kern w:val="0"/>
                <w:sz w:val="18"/>
                <w:szCs w:val="18"/>
              </w:rPr>
              <w:t>202</w:t>
            </w:r>
            <w:r>
              <w:rPr>
                <w:rFonts w:hint="eastAsia" w:ascii="黑体" w:hAnsi="黑体" w:eastAsia="黑体" w:cs="黑体"/>
                <w:bCs/>
                <w:kern w:val="0"/>
                <w:sz w:val="18"/>
                <w:szCs w:val="18"/>
                <w:lang w:val="en-US" w:eastAsia="zh-CN"/>
              </w:rPr>
              <w:t>2</w:t>
            </w:r>
            <w:r>
              <w:rPr>
                <w:rFonts w:hint="eastAsia" w:ascii="黑体" w:hAnsi="黑体" w:eastAsia="黑体" w:cs="黑体"/>
                <w:bCs/>
                <w:kern w:val="0"/>
                <w:sz w:val="18"/>
                <w:szCs w:val="18"/>
              </w:rPr>
              <w:t>年</w:t>
            </w:r>
          </w:p>
          <w:p>
            <w:pPr>
              <w:widowControl/>
              <w:spacing w:line="200" w:lineRule="atLeast"/>
              <w:ind w:left="0" w:leftChars="0" w:firstLine="0" w:firstLineChars="0"/>
              <w:jc w:val="center"/>
              <w:textAlignment w:val="center"/>
              <w:rPr>
                <w:rFonts w:hint="default" w:ascii="黑体" w:hAnsi="黑体" w:eastAsia="黑体" w:cs="黑体"/>
                <w:bCs/>
                <w:kern w:val="0"/>
                <w:sz w:val="18"/>
                <w:szCs w:val="18"/>
                <w:lang w:val="en-US" w:eastAsia="zh-CN"/>
              </w:rPr>
            </w:pPr>
            <w:r>
              <w:rPr>
                <w:rFonts w:hint="eastAsia" w:ascii="黑体" w:hAnsi="黑体" w:eastAsia="黑体" w:cs="黑体"/>
                <w:bCs/>
                <w:kern w:val="0"/>
                <w:sz w:val="18"/>
                <w:szCs w:val="18"/>
                <w:lang w:val="en-US" w:eastAsia="zh-CN"/>
              </w:rPr>
              <w:t>县目标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left="0" w:leftChars="0" w:firstLine="0" w:firstLineChars="0"/>
              <w:jc w:val="center"/>
              <w:textAlignment w:val="center"/>
              <w:rPr>
                <w:rFonts w:hint="eastAsia" w:ascii="黑体" w:hAnsi="黑体" w:eastAsia="黑体" w:cs="黑体"/>
                <w:bCs/>
                <w:kern w:val="0"/>
                <w:sz w:val="18"/>
                <w:szCs w:val="18"/>
              </w:rPr>
            </w:pPr>
            <w:r>
              <w:rPr>
                <w:rFonts w:hint="eastAsia" w:ascii="黑体" w:hAnsi="黑体" w:eastAsia="黑体" w:cs="黑体"/>
                <w:bCs/>
                <w:kern w:val="0"/>
                <w:sz w:val="18"/>
                <w:szCs w:val="18"/>
              </w:rPr>
              <w:t>202</w:t>
            </w:r>
            <w:r>
              <w:rPr>
                <w:rFonts w:hint="eastAsia" w:ascii="黑体" w:hAnsi="黑体" w:eastAsia="黑体" w:cs="黑体"/>
                <w:bCs/>
                <w:kern w:val="0"/>
                <w:sz w:val="18"/>
                <w:szCs w:val="18"/>
                <w:lang w:val="en-US" w:eastAsia="zh-CN"/>
              </w:rPr>
              <w:t>3</w:t>
            </w:r>
            <w:r>
              <w:rPr>
                <w:rFonts w:hint="eastAsia" w:ascii="黑体" w:hAnsi="黑体" w:eastAsia="黑体" w:cs="黑体"/>
                <w:bCs/>
                <w:kern w:val="0"/>
                <w:sz w:val="18"/>
                <w:szCs w:val="18"/>
              </w:rPr>
              <w:t>年</w:t>
            </w:r>
          </w:p>
          <w:p>
            <w:pPr>
              <w:widowControl/>
              <w:spacing w:line="200" w:lineRule="atLeast"/>
              <w:ind w:left="0" w:leftChars="0" w:firstLine="0" w:firstLineChars="0"/>
              <w:jc w:val="center"/>
              <w:textAlignment w:val="center"/>
              <w:rPr>
                <w:rFonts w:hint="default" w:ascii="黑体" w:hAnsi="黑体" w:eastAsia="黑体" w:cs="黑体"/>
                <w:bCs/>
                <w:kern w:val="0"/>
                <w:sz w:val="18"/>
                <w:szCs w:val="18"/>
                <w:lang w:val="en-US" w:eastAsia="zh-CN"/>
              </w:rPr>
            </w:pPr>
            <w:r>
              <w:rPr>
                <w:rFonts w:hint="eastAsia" w:ascii="黑体" w:hAnsi="黑体" w:eastAsia="黑体" w:cs="黑体"/>
                <w:bCs/>
                <w:kern w:val="0"/>
                <w:sz w:val="18"/>
                <w:szCs w:val="18"/>
                <w:lang w:val="en-US" w:eastAsia="zh-CN"/>
              </w:rPr>
              <w:t>县目标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left="0" w:leftChars="0" w:firstLine="0" w:firstLineChars="0"/>
              <w:jc w:val="center"/>
              <w:textAlignment w:val="center"/>
              <w:rPr>
                <w:rFonts w:hint="eastAsia" w:ascii="黑体" w:hAnsi="黑体" w:eastAsia="黑体" w:cs="黑体"/>
                <w:bCs/>
                <w:kern w:val="0"/>
                <w:sz w:val="18"/>
                <w:szCs w:val="18"/>
              </w:rPr>
            </w:pPr>
            <w:r>
              <w:rPr>
                <w:rFonts w:hint="eastAsia" w:ascii="黑体" w:hAnsi="黑体" w:eastAsia="黑体" w:cs="黑体"/>
                <w:bCs/>
                <w:kern w:val="0"/>
                <w:sz w:val="18"/>
                <w:szCs w:val="18"/>
              </w:rPr>
              <w:t>202</w:t>
            </w:r>
            <w:r>
              <w:rPr>
                <w:rFonts w:hint="eastAsia" w:ascii="黑体" w:hAnsi="黑体" w:eastAsia="黑体" w:cs="黑体"/>
                <w:bCs/>
                <w:kern w:val="0"/>
                <w:sz w:val="18"/>
                <w:szCs w:val="18"/>
                <w:lang w:val="en-US" w:eastAsia="zh-CN"/>
              </w:rPr>
              <w:t>4</w:t>
            </w:r>
            <w:r>
              <w:rPr>
                <w:rFonts w:hint="eastAsia" w:ascii="黑体" w:hAnsi="黑体" w:eastAsia="黑体" w:cs="黑体"/>
                <w:bCs/>
                <w:kern w:val="0"/>
                <w:sz w:val="18"/>
                <w:szCs w:val="18"/>
              </w:rPr>
              <w:t>年</w:t>
            </w:r>
          </w:p>
          <w:p>
            <w:pPr>
              <w:widowControl/>
              <w:spacing w:line="200" w:lineRule="atLeast"/>
              <w:ind w:left="0" w:leftChars="0" w:firstLine="0" w:firstLineChars="0"/>
              <w:jc w:val="center"/>
              <w:textAlignment w:val="center"/>
              <w:rPr>
                <w:rFonts w:hint="default" w:ascii="黑体" w:hAnsi="黑体" w:eastAsia="黑体" w:cs="黑体"/>
                <w:bCs/>
                <w:kern w:val="0"/>
                <w:sz w:val="18"/>
                <w:szCs w:val="18"/>
                <w:lang w:val="en-US" w:eastAsia="zh-CN"/>
              </w:rPr>
            </w:pPr>
            <w:r>
              <w:rPr>
                <w:rFonts w:hint="eastAsia" w:ascii="黑体" w:hAnsi="黑体" w:eastAsia="黑体" w:cs="黑体"/>
                <w:bCs/>
                <w:kern w:val="0"/>
                <w:sz w:val="18"/>
                <w:szCs w:val="18"/>
                <w:lang w:val="en-US" w:eastAsia="zh-CN"/>
              </w:rPr>
              <w:t>县目标</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left="0" w:leftChars="0" w:firstLine="0" w:firstLineChars="0"/>
              <w:jc w:val="center"/>
              <w:textAlignment w:val="center"/>
              <w:rPr>
                <w:rFonts w:hint="eastAsia" w:ascii="黑体" w:hAnsi="黑体" w:eastAsia="黑体" w:cs="黑体"/>
                <w:bCs/>
                <w:kern w:val="0"/>
                <w:sz w:val="18"/>
                <w:szCs w:val="18"/>
              </w:rPr>
            </w:pPr>
            <w:r>
              <w:rPr>
                <w:rFonts w:hint="eastAsia" w:ascii="黑体" w:hAnsi="黑体" w:eastAsia="黑体" w:cs="黑体"/>
                <w:bCs/>
                <w:kern w:val="0"/>
                <w:sz w:val="18"/>
                <w:szCs w:val="18"/>
              </w:rPr>
              <w:t>202</w:t>
            </w:r>
            <w:r>
              <w:rPr>
                <w:rFonts w:hint="eastAsia" w:ascii="黑体" w:hAnsi="黑体" w:eastAsia="黑体" w:cs="黑体"/>
                <w:bCs/>
                <w:kern w:val="0"/>
                <w:sz w:val="18"/>
                <w:szCs w:val="18"/>
                <w:lang w:val="en-US" w:eastAsia="zh-CN"/>
              </w:rPr>
              <w:t>5</w:t>
            </w:r>
            <w:r>
              <w:rPr>
                <w:rFonts w:hint="eastAsia" w:ascii="黑体" w:hAnsi="黑体" w:eastAsia="黑体" w:cs="黑体"/>
                <w:bCs/>
                <w:kern w:val="0"/>
                <w:sz w:val="18"/>
                <w:szCs w:val="18"/>
              </w:rPr>
              <w:t>年</w:t>
            </w:r>
          </w:p>
          <w:p>
            <w:pPr>
              <w:widowControl/>
              <w:spacing w:line="200" w:lineRule="atLeast"/>
              <w:ind w:left="0" w:leftChars="0" w:firstLine="0" w:firstLineChars="0"/>
              <w:jc w:val="center"/>
              <w:textAlignment w:val="center"/>
              <w:rPr>
                <w:rFonts w:hint="eastAsia" w:ascii="黑体" w:hAnsi="黑体" w:eastAsia="黑体" w:cs="黑体"/>
                <w:bCs/>
                <w:sz w:val="18"/>
                <w:szCs w:val="18"/>
                <w:lang w:eastAsia="zh-CN"/>
              </w:rPr>
            </w:pPr>
            <w:r>
              <w:rPr>
                <w:rFonts w:hint="eastAsia" w:ascii="黑体" w:hAnsi="黑体" w:eastAsia="黑体" w:cs="黑体"/>
                <w:bCs/>
                <w:kern w:val="0"/>
                <w:sz w:val="18"/>
                <w:szCs w:val="18"/>
                <w:lang w:val="en-US" w:eastAsia="zh-CN"/>
              </w:rPr>
              <w:t>县目标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黑体" w:hAnsi="黑体" w:eastAsia="黑体" w:cs="黑体"/>
                <w:bCs/>
                <w:sz w:val="18"/>
                <w:szCs w:val="18"/>
              </w:rPr>
            </w:pPr>
            <w:r>
              <w:rPr>
                <w:rFonts w:hint="eastAsia" w:ascii="黑体" w:hAnsi="黑体" w:eastAsia="黑体" w:cs="黑体"/>
                <w:bCs/>
                <w:sz w:val="18"/>
                <w:szCs w:val="18"/>
              </w:rPr>
              <w:t>2025年</w:t>
            </w:r>
          </w:p>
          <w:p>
            <w:pPr>
              <w:widowControl/>
              <w:spacing w:line="200" w:lineRule="atLeast"/>
              <w:ind w:firstLine="0" w:firstLineChars="0"/>
              <w:jc w:val="center"/>
              <w:textAlignment w:val="center"/>
              <w:rPr>
                <w:rFonts w:hint="eastAsia" w:ascii="黑体" w:hAnsi="黑体" w:eastAsia="黑体" w:cs="黑体"/>
                <w:bCs/>
                <w:sz w:val="18"/>
                <w:szCs w:val="18"/>
              </w:rPr>
            </w:pPr>
            <w:r>
              <w:rPr>
                <w:rFonts w:hint="eastAsia" w:ascii="黑体" w:hAnsi="黑体" w:eastAsia="黑体" w:cs="黑体"/>
                <w:bCs/>
                <w:sz w:val="18"/>
                <w:szCs w:val="18"/>
              </w:rPr>
              <w:t>市目标</w:t>
            </w:r>
          </w:p>
        </w:tc>
        <w:tc>
          <w:tcPr>
            <w:tcW w:w="673" w:type="dxa"/>
            <w:tcBorders>
              <w:top w:val="single" w:color="000000" w:sz="4" w:space="0"/>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黑体" w:hAnsi="黑体" w:eastAsia="黑体" w:cs="黑体"/>
                <w:bCs/>
                <w:kern w:val="0"/>
                <w:sz w:val="18"/>
                <w:szCs w:val="18"/>
              </w:rPr>
            </w:pPr>
            <w:r>
              <w:rPr>
                <w:rFonts w:hint="eastAsia" w:ascii="黑体" w:hAnsi="黑体" w:eastAsia="黑体" w:cs="黑体"/>
                <w:bCs/>
                <w:kern w:val="0"/>
                <w:sz w:val="18"/>
                <w:szCs w:val="18"/>
              </w:rPr>
              <w:t>指标性质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0" w:hRule="atLeast"/>
          <w:jc w:val="center"/>
        </w:trPr>
        <w:tc>
          <w:tcPr>
            <w:tcW w:w="552" w:type="dxa"/>
            <w:vMerge w:val="restart"/>
            <w:tcBorders>
              <w:top w:val="single" w:color="000000" w:sz="4" w:space="0"/>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健康</w:t>
            </w:r>
          </w:p>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水平</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人均预期寿命</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岁</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82.14</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84.36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82</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82</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＞79</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8" w:hRule="atLeast"/>
          <w:jc w:val="center"/>
        </w:trPr>
        <w:tc>
          <w:tcPr>
            <w:tcW w:w="552" w:type="dxa"/>
            <w:vMerge w:val="continue"/>
            <w:tcBorders>
              <w:left w:val="single" w:color="000000" w:sz="4" w:space="0"/>
              <w:right w:val="single" w:color="000000" w:sz="4" w:space="0"/>
            </w:tcBorders>
            <w:noWrap w:val="0"/>
            <w:vAlign w:val="center"/>
          </w:tcPr>
          <w:p>
            <w:pPr>
              <w:spacing w:line="200" w:lineRule="atLeast"/>
              <w:ind w:firstLine="480"/>
              <w:jc w:val="center"/>
              <w:rPr>
                <w:rFonts w:hint="eastAsia" w:ascii="微软雅黑" w:hAnsi="微软雅黑" w:eastAsia="微软雅黑" w:cs="微软雅黑"/>
                <w:kern w:val="0"/>
                <w:sz w:val="18"/>
                <w:szCs w:val="18"/>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孕产妇死亡率</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552" w:type="dxa"/>
            <w:vMerge w:val="continue"/>
            <w:tcBorders>
              <w:left w:val="single" w:color="000000" w:sz="4" w:space="0"/>
              <w:right w:val="single" w:color="000000" w:sz="4" w:space="0"/>
            </w:tcBorders>
            <w:noWrap w:val="0"/>
            <w:vAlign w:val="center"/>
          </w:tcPr>
          <w:p>
            <w:pPr>
              <w:spacing w:line="200" w:lineRule="atLeast"/>
              <w:ind w:firstLine="480"/>
              <w:jc w:val="center"/>
              <w:rPr>
                <w:rFonts w:hint="eastAsia" w:ascii="微软雅黑" w:hAnsi="微软雅黑" w:eastAsia="微软雅黑" w:cs="微软雅黑"/>
                <w:kern w:val="0"/>
                <w:sz w:val="18"/>
                <w:szCs w:val="18"/>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婴儿死亡率</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0.93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＜3</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＜3</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2" w:hRule="atLeast"/>
          <w:jc w:val="center"/>
        </w:trPr>
        <w:tc>
          <w:tcPr>
            <w:tcW w:w="552" w:type="dxa"/>
            <w:vMerge w:val="continue"/>
            <w:tcBorders>
              <w:left w:val="single" w:color="000000" w:sz="4" w:space="0"/>
              <w:right w:val="single" w:color="000000" w:sz="4" w:space="0"/>
            </w:tcBorders>
            <w:noWrap w:val="0"/>
            <w:vAlign w:val="center"/>
          </w:tcPr>
          <w:p>
            <w:pPr>
              <w:spacing w:line="200" w:lineRule="atLeast"/>
              <w:ind w:firstLine="480"/>
              <w:jc w:val="center"/>
              <w:rPr>
                <w:rFonts w:hint="eastAsia" w:ascii="微软雅黑" w:hAnsi="微软雅黑" w:eastAsia="微软雅黑" w:cs="微软雅黑"/>
                <w:kern w:val="0"/>
                <w:sz w:val="18"/>
                <w:szCs w:val="18"/>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5岁以下儿童死亡率</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1.71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3" w:hRule="atLeast"/>
          <w:jc w:val="center"/>
        </w:trPr>
        <w:tc>
          <w:tcPr>
            <w:tcW w:w="552" w:type="dxa"/>
            <w:vMerge w:val="continue"/>
            <w:tcBorders>
              <w:left w:val="single" w:color="000000" w:sz="4" w:space="0"/>
              <w:right w:val="single" w:color="000000" w:sz="4" w:space="0"/>
            </w:tcBorders>
            <w:noWrap w:val="0"/>
            <w:vAlign w:val="center"/>
          </w:tcPr>
          <w:p>
            <w:pPr>
              <w:spacing w:line="200" w:lineRule="atLeast"/>
              <w:ind w:firstLine="480"/>
              <w:jc w:val="center"/>
              <w:rPr>
                <w:rFonts w:hint="eastAsia" w:ascii="微软雅黑" w:hAnsi="微软雅黑" w:eastAsia="微软雅黑" w:cs="微软雅黑"/>
                <w:kern w:val="0"/>
                <w:sz w:val="18"/>
                <w:szCs w:val="18"/>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重大慢性病过早死亡率</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13.40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12.79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9" w:hRule="atLeast"/>
          <w:jc w:val="center"/>
        </w:trPr>
        <w:tc>
          <w:tcPr>
            <w:tcW w:w="552" w:type="dxa"/>
            <w:vMerge w:val="restart"/>
            <w:tcBorders>
              <w:top w:val="single" w:color="000000" w:sz="4" w:space="0"/>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健康</w:t>
            </w:r>
          </w:p>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生活</w:t>
            </w:r>
          </w:p>
        </w:tc>
        <w:tc>
          <w:tcPr>
            <w:tcW w:w="421"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居民健康素养水平</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22.95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5" w:hRule="atLeast"/>
          <w:jc w:val="center"/>
        </w:trPr>
        <w:tc>
          <w:tcPr>
            <w:tcW w:w="552" w:type="dxa"/>
            <w:vMerge w:val="continue"/>
            <w:tcBorders>
              <w:left w:val="single" w:color="000000" w:sz="4" w:space="0"/>
              <w:right w:val="single" w:color="000000" w:sz="4" w:space="0"/>
            </w:tcBorders>
            <w:noWrap w:val="0"/>
            <w:vAlign w:val="center"/>
          </w:tcPr>
          <w:p>
            <w:pPr>
              <w:spacing w:line="200" w:lineRule="atLeast"/>
              <w:ind w:firstLine="480"/>
              <w:jc w:val="center"/>
              <w:rPr>
                <w:rFonts w:hint="eastAsia" w:ascii="微软雅黑" w:hAnsi="微软雅黑" w:eastAsia="微软雅黑" w:cs="微软雅黑"/>
                <w:kern w:val="0"/>
                <w:sz w:val="18"/>
                <w:szCs w:val="18"/>
              </w:rPr>
            </w:pPr>
          </w:p>
        </w:tc>
        <w:tc>
          <w:tcPr>
            <w:tcW w:w="421"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15岁以上人群吸烟率</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26.16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24.72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552" w:type="dxa"/>
            <w:vMerge w:val="continue"/>
            <w:tcBorders>
              <w:left w:val="single" w:color="000000" w:sz="4" w:space="0"/>
              <w:bottom w:val="single" w:color="000000" w:sz="4" w:space="0"/>
              <w:right w:val="single" w:color="000000" w:sz="4" w:space="0"/>
            </w:tcBorders>
            <w:noWrap w:val="0"/>
            <w:vAlign w:val="center"/>
          </w:tcPr>
          <w:p>
            <w:pPr>
              <w:spacing w:line="200" w:lineRule="atLeast"/>
              <w:ind w:firstLine="480"/>
              <w:jc w:val="center"/>
              <w:rPr>
                <w:rFonts w:hint="eastAsia" w:ascii="微软雅黑" w:hAnsi="微软雅黑" w:eastAsia="微软雅黑" w:cs="微软雅黑"/>
                <w:kern w:val="0"/>
                <w:sz w:val="18"/>
                <w:szCs w:val="18"/>
              </w:rPr>
            </w:pPr>
          </w:p>
        </w:tc>
        <w:tc>
          <w:tcPr>
            <w:tcW w:w="421"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千人口献血率</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1.37</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持续提升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持续提升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持续提升</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持续提升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持续提升</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9" w:hRule="atLeast"/>
          <w:jc w:val="center"/>
        </w:trPr>
        <w:tc>
          <w:tcPr>
            <w:tcW w:w="552" w:type="dxa"/>
            <w:vMerge w:val="continue"/>
            <w:tcBorders>
              <w:left w:val="single" w:color="000000" w:sz="4" w:space="0"/>
              <w:bottom w:val="single" w:color="000000" w:sz="4" w:space="0"/>
              <w:right w:val="single" w:color="000000" w:sz="4" w:space="0"/>
            </w:tcBorders>
            <w:noWrap w:val="0"/>
            <w:vAlign w:val="center"/>
          </w:tcPr>
          <w:p>
            <w:pPr>
              <w:spacing w:line="200" w:lineRule="atLeast"/>
              <w:ind w:firstLine="480"/>
              <w:jc w:val="center"/>
              <w:rPr>
                <w:rFonts w:hint="eastAsia" w:ascii="微软雅黑" w:hAnsi="微软雅黑" w:eastAsia="微软雅黑" w:cs="微软雅黑"/>
                <w:kern w:val="0"/>
                <w:sz w:val="18"/>
                <w:szCs w:val="18"/>
              </w:rPr>
            </w:pPr>
          </w:p>
        </w:tc>
        <w:tc>
          <w:tcPr>
            <w:tcW w:w="421"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创建国家卫生</w:t>
            </w:r>
            <w:r>
              <w:rPr>
                <w:rFonts w:hint="eastAsia" w:ascii="微软雅黑" w:hAnsi="微软雅黑" w:eastAsia="微软雅黑" w:cs="微软雅黑"/>
                <w:sz w:val="18"/>
                <w:szCs w:val="18"/>
                <w:lang w:val="en-US" w:eastAsia="zh-CN"/>
              </w:rPr>
              <w:t>县</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正在</w:t>
            </w:r>
            <w:r>
              <w:rPr>
                <w:rFonts w:hint="eastAsia" w:ascii="微软雅黑" w:hAnsi="微软雅黑" w:eastAsia="微软雅黑" w:cs="微软雅黑"/>
                <w:sz w:val="18"/>
                <w:szCs w:val="18"/>
              </w:rPr>
              <w:t>创建</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正在</w:t>
            </w:r>
            <w:r>
              <w:rPr>
                <w:rFonts w:hint="eastAsia" w:ascii="微软雅黑" w:hAnsi="微软雅黑" w:eastAsia="微软雅黑" w:cs="微软雅黑"/>
                <w:sz w:val="18"/>
                <w:szCs w:val="18"/>
              </w:rPr>
              <w:t>创建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正在</w:t>
            </w:r>
            <w:r>
              <w:rPr>
                <w:rFonts w:hint="eastAsia" w:ascii="微软雅黑" w:hAnsi="微软雅黑" w:eastAsia="微软雅黑" w:cs="微软雅黑"/>
                <w:sz w:val="18"/>
                <w:szCs w:val="18"/>
              </w:rPr>
              <w:t>创建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正在</w:t>
            </w:r>
            <w:r>
              <w:rPr>
                <w:rFonts w:hint="eastAsia" w:ascii="微软雅黑" w:hAnsi="微软雅黑" w:eastAsia="微软雅黑" w:cs="微软雅黑"/>
                <w:sz w:val="18"/>
                <w:szCs w:val="18"/>
              </w:rPr>
              <w:t>创建</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创建成功</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创建成功</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创建成功</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0" w:hRule="atLeast"/>
          <w:jc w:val="center"/>
        </w:trPr>
        <w:tc>
          <w:tcPr>
            <w:tcW w:w="552" w:type="dxa"/>
            <w:vMerge w:val="restart"/>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健康</w:t>
            </w:r>
          </w:p>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服务</w:t>
            </w:r>
          </w:p>
        </w:tc>
        <w:tc>
          <w:tcPr>
            <w:tcW w:w="421" w:type="dxa"/>
            <w:tcBorders>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每千人口拥有医疗卫生机构床位数</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张</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3.00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4.58</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2" w:hRule="atLeast"/>
          <w:jc w:val="center"/>
        </w:trPr>
        <w:tc>
          <w:tcPr>
            <w:tcW w:w="552"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p>
        </w:tc>
        <w:tc>
          <w:tcPr>
            <w:tcW w:w="421" w:type="dxa"/>
            <w:vMerge w:val="restart"/>
            <w:tcBorders>
              <w:left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每千人口拥有执业（助理）医师数</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人</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1.51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1.61</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1.64</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1.68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w:t>
            </w:r>
            <w:r>
              <w:rPr>
                <w:rFonts w:hint="eastAsia" w:ascii="微软雅黑" w:hAnsi="微软雅黑" w:eastAsia="微软雅黑" w:cs="微软雅黑"/>
                <w:sz w:val="18"/>
                <w:szCs w:val="18"/>
                <w:lang w:val="en-US" w:eastAsia="zh-CN"/>
              </w:rPr>
              <w:t>7</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jc w:val="center"/>
        </w:trPr>
        <w:tc>
          <w:tcPr>
            <w:tcW w:w="552"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p>
        </w:tc>
        <w:tc>
          <w:tcPr>
            <w:tcW w:w="42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其中：每千人口拥有中医类别执业（助理）医师数</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人</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0.404</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0.411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0.415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0.420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0.423</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0.426</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0.62</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7" w:hRule="atLeast"/>
          <w:jc w:val="center"/>
        </w:trPr>
        <w:tc>
          <w:tcPr>
            <w:tcW w:w="552"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p>
        </w:tc>
        <w:tc>
          <w:tcPr>
            <w:tcW w:w="421" w:type="dxa"/>
            <w:tcBorders>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每千人口拥有注册护士数</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人</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1.48</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1.51</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1.55</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2.17</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0" w:hRule="atLeast"/>
          <w:jc w:val="center"/>
        </w:trPr>
        <w:tc>
          <w:tcPr>
            <w:tcW w:w="552"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p>
        </w:tc>
        <w:tc>
          <w:tcPr>
            <w:tcW w:w="421" w:type="dxa"/>
            <w:tcBorders>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每万人口拥有全科医生数</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人</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3.30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4</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52"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p>
        </w:tc>
        <w:tc>
          <w:tcPr>
            <w:tcW w:w="421" w:type="dxa"/>
            <w:tcBorders>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每千人口拥有药师（士）数</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人</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0.18</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0.24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0.27</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0.34</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0.54</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5" w:hRule="atLeast"/>
          <w:jc w:val="center"/>
        </w:trPr>
        <w:tc>
          <w:tcPr>
            <w:tcW w:w="552"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p>
        </w:tc>
        <w:tc>
          <w:tcPr>
            <w:tcW w:w="421" w:type="dxa"/>
            <w:tcBorders>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每千人口拥有公共卫生人员数</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人</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0.37</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0.41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0.44</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0.46</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0.48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增长30%</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7" w:hRule="atLeast"/>
          <w:jc w:val="center"/>
        </w:trPr>
        <w:tc>
          <w:tcPr>
            <w:tcW w:w="552"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p>
        </w:tc>
        <w:tc>
          <w:tcPr>
            <w:tcW w:w="421" w:type="dxa"/>
            <w:tcBorders>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每千人口拥有3岁以下婴幼儿托位数</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个</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1.22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1.55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1.65</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1.75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color w:val="auto"/>
                <w:sz w:val="18"/>
                <w:szCs w:val="18"/>
                <w:lang w:val="en-US"/>
              </w:rPr>
            </w:pPr>
            <w:r>
              <w:rPr>
                <w:rFonts w:hint="eastAsia" w:ascii="微软雅黑" w:hAnsi="微软雅黑" w:eastAsia="微软雅黑" w:cs="微软雅黑"/>
                <w:color w:val="auto"/>
                <w:sz w:val="18"/>
                <w:szCs w:val="18"/>
                <w:highlight w:val="none"/>
                <w:lang w:val="en-US" w:eastAsia="zh-CN"/>
              </w:rPr>
              <w:t>1.85</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4.5</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0" w:hRule="atLeast"/>
          <w:jc w:val="center"/>
        </w:trPr>
        <w:tc>
          <w:tcPr>
            <w:tcW w:w="552"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p>
        </w:tc>
        <w:tc>
          <w:tcPr>
            <w:tcW w:w="421" w:type="dxa"/>
            <w:tcBorders>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全</w:t>
            </w:r>
            <w:r>
              <w:rPr>
                <w:rFonts w:hint="eastAsia" w:ascii="微软雅黑" w:hAnsi="微软雅黑" w:eastAsia="微软雅黑" w:cs="微软雅黑"/>
                <w:sz w:val="18"/>
                <w:szCs w:val="18"/>
                <w:lang w:val="en-US" w:eastAsia="zh-CN"/>
              </w:rPr>
              <w:t>县</w:t>
            </w:r>
            <w:r>
              <w:rPr>
                <w:rFonts w:hint="eastAsia" w:ascii="微软雅黑" w:hAnsi="微软雅黑" w:eastAsia="微软雅黑" w:cs="微软雅黑"/>
                <w:sz w:val="18"/>
                <w:szCs w:val="18"/>
              </w:rPr>
              <w:t>儿童青少年总体近视率</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38.14</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37.64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力争每年降低0.5个百分点以上</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力争每年降低0.5个百分点以上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力争每年降低0.5个百分点以上</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力争每年降低0.5个百分点以上</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力争每年降低0.5个百分点以上</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9" w:hRule="atLeast"/>
          <w:jc w:val="center"/>
        </w:trPr>
        <w:tc>
          <w:tcPr>
            <w:tcW w:w="552"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p>
        </w:tc>
        <w:tc>
          <w:tcPr>
            <w:tcW w:w="421" w:type="dxa"/>
            <w:tcBorders>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二级及以上综合性</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专科</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医院设置老年医学科的比例</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34" w:hRule="atLeast"/>
          <w:jc w:val="center"/>
        </w:trPr>
        <w:tc>
          <w:tcPr>
            <w:tcW w:w="552" w:type="dxa"/>
            <w:vMerge w:val="continue"/>
            <w:tcBorders>
              <w:left w:val="single" w:color="000000" w:sz="4" w:space="0"/>
              <w:right w:val="single" w:color="000000" w:sz="4" w:space="0"/>
            </w:tcBorders>
            <w:noWrap w:val="0"/>
            <w:vAlign w:val="center"/>
          </w:tcPr>
          <w:p>
            <w:pPr>
              <w:widowControl/>
              <w:spacing w:line="200" w:lineRule="atLeast"/>
              <w:ind w:firstLine="0" w:firstLineChars="0"/>
              <w:jc w:val="center"/>
              <w:textAlignment w:val="center"/>
              <w:rPr>
                <w:rFonts w:hint="eastAsia" w:ascii="微软雅黑" w:hAnsi="微软雅黑" w:eastAsia="微软雅黑" w:cs="微软雅黑"/>
                <w:kern w:val="0"/>
                <w:sz w:val="18"/>
                <w:szCs w:val="18"/>
              </w:rPr>
            </w:pPr>
          </w:p>
        </w:tc>
        <w:tc>
          <w:tcPr>
            <w:tcW w:w="421" w:type="dxa"/>
            <w:tcBorders>
              <w:left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重点行业用人单位劳动者防噪音耳塞或耳罩正确佩戴率</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预期性</w:t>
            </w:r>
          </w:p>
        </w:tc>
      </w:tr>
    </w:tbl>
    <w:p>
      <w:pPr>
        <w:pStyle w:val="5"/>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line="560" w:lineRule="exact"/>
        <w:ind w:leftChars="0" w:firstLine="643" w:firstLineChars="200"/>
        <w:textAlignment w:val="auto"/>
        <w:rPr>
          <w:rFonts w:hint="default"/>
          <w:sz w:val="32"/>
          <w:szCs w:val="32"/>
          <w:lang w:val="en-US" w:eastAsia="zh-CN"/>
        </w:rPr>
      </w:pPr>
      <w:bookmarkStart w:id="30" w:name="_Toc28003_WPSOffice_Level1"/>
      <w:r>
        <w:rPr>
          <w:rFonts w:hint="eastAsia"/>
          <w:sz w:val="32"/>
          <w:szCs w:val="32"/>
          <w:lang w:val="en-US" w:eastAsia="zh-CN"/>
        </w:rPr>
        <w:t>三、主要任务</w:t>
      </w:r>
      <w:bookmarkEnd w:id="30"/>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31" w:name="_Toc18396_WPSOffice_Level2"/>
      <w:r>
        <w:rPr>
          <w:rFonts w:hint="eastAsia" w:asciiTheme="majorEastAsia" w:hAnsiTheme="majorEastAsia" w:eastAsiaTheme="majorEastAsia" w:cstheme="majorEastAsia"/>
          <w:b/>
          <w:bCs/>
          <w:sz w:val="32"/>
          <w:szCs w:val="32"/>
          <w:lang w:val="en-US" w:eastAsia="zh-CN"/>
        </w:rPr>
        <w:t>（一）建立健全医疗卫生服务体系</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32" w:name="_Toc30446_WPSOffice_Level3"/>
      <w:r>
        <w:rPr>
          <w:rFonts w:hint="eastAsia" w:ascii="仿宋" w:hAnsi="仿宋" w:eastAsia="仿宋" w:cs="仿宋"/>
          <w:b/>
          <w:bCs/>
          <w:sz w:val="32"/>
          <w:szCs w:val="32"/>
          <w:lang w:val="en-US" w:eastAsia="zh-CN"/>
        </w:rPr>
        <w:t>1.提升县级医疗服务能力</w:t>
      </w:r>
      <w:bookmarkEnd w:id="32"/>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针对县直医院综合医疗服务能力不高、病患外流严重等历史问题，积极寻找托管帮扶。由暨南大学附属第一医院全面托管县人民医院、广州市妇女儿童医疗中心帮扶县妇幼保健院、中山市陈星海医院帮扶县中医医院、</w:t>
      </w:r>
      <w:r>
        <w:rPr>
          <w:rFonts w:hint="eastAsia" w:ascii="仿宋" w:hAnsi="仿宋" w:eastAsia="仿宋" w:cs="仿宋"/>
          <w:sz w:val="32"/>
          <w:szCs w:val="32"/>
          <w:highlight w:val="none"/>
          <w:lang w:val="en-US" w:eastAsia="zh-CN"/>
        </w:rPr>
        <w:t>中山市人民医院帮扶县第二人民医院，</w:t>
      </w:r>
      <w:r>
        <w:rPr>
          <w:rFonts w:hint="eastAsia" w:ascii="仿宋" w:hAnsi="仿宋" w:eastAsia="仿宋" w:cs="仿宋"/>
          <w:sz w:val="32"/>
          <w:szCs w:val="32"/>
          <w:lang w:val="en-US" w:eastAsia="zh-CN"/>
        </w:rPr>
        <w:t>推动县域医疗服务和技术水平实现跨越式提升。推动暨南大学附属第一医院潮汕医院高水平建设。潮汕医院</w:t>
      </w:r>
      <w:r>
        <w:rPr>
          <w:rFonts w:hint="eastAsia" w:ascii="仿宋" w:hAnsi="仿宋" w:eastAsia="仿宋" w:cs="仿宋"/>
          <w:kern w:val="2"/>
          <w:sz w:val="32"/>
          <w:szCs w:val="32"/>
          <w:lang w:val="en-US" w:eastAsia="zh-CN" w:bidi="ar-SA"/>
        </w:rPr>
        <w:t>整体搬迁新建项目建成后将大大改善我县人民群众就医环境，并将服务能力辐射到周边县市及福建省邻近县区。“十四五”期间，计划投入9.289亿元推进重点卫生健康项目建设，其中：投入2.068亿元建设2个县级医疗卫生项目（县人民医院异地搬迁新建项目二期建设项目和妇幼保健院托育楼建设项目），投入7.221亿元建设10个镇卫生院医疗服务整体提升项目，为基层卫生院升级改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33" w:name="_Toc8281_WPSOffice_Level3"/>
      <w:r>
        <w:rPr>
          <w:rFonts w:hint="eastAsia" w:ascii="仿宋" w:hAnsi="仿宋" w:eastAsia="仿宋" w:cs="仿宋"/>
          <w:b/>
          <w:bCs/>
          <w:sz w:val="32"/>
          <w:szCs w:val="32"/>
          <w:lang w:val="en-US" w:eastAsia="zh-CN"/>
        </w:rPr>
        <w:t>2.强化县级医院县域龙头作用</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推进县级公立医院着手加强重点专科门诊、特色专科建设及专科特设岗位建设，以专科建设项目带动医院服务能力全面提升实现“小病不出村、大病不出县”的目标。</w:t>
      </w:r>
      <w:r>
        <w:rPr>
          <w:rFonts w:hint="eastAsia" w:ascii="仿宋" w:hAnsi="仿宋" w:eastAsia="仿宋" w:cs="仿宋"/>
          <w:b w:val="0"/>
          <w:bCs w:val="0"/>
          <w:sz w:val="32"/>
          <w:szCs w:val="32"/>
          <w:lang w:val="en-US" w:eastAsia="zh-CN"/>
        </w:rPr>
        <w:t>潮汕医院继续发挥龙头作用，至2025年潮汕医院达到三级甲等医院水平，县中医医院达到三级乙等水平，县妇幼保健院达到二级甲等水平。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34" w:name="_Toc15893_WPSOffice_Level3"/>
      <w:r>
        <w:rPr>
          <w:rFonts w:hint="eastAsia" w:ascii="仿宋" w:hAnsi="仿宋" w:eastAsia="仿宋" w:cs="仿宋"/>
          <w:b/>
          <w:bCs/>
          <w:sz w:val="32"/>
          <w:szCs w:val="32"/>
          <w:lang w:val="en-US" w:eastAsia="zh-CN"/>
        </w:rPr>
        <w:t>3.巩固基层医疗卫生服务能力</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推进紧密型县域医共体建设，到2022年底，县域医共体功能形态更加健全完善，运行管理更加优质高效，服务能力明显提升，分级诊疗便捷有序，县域住院率达到63%左右，基层就诊率达到45%左右。到2025年县域住院率达到75%左右，基层就诊率达到60%以上。全面推行家庭医生签约服务，提高服务效能。</w:t>
      </w:r>
      <w:r>
        <w:rPr>
          <w:rFonts w:hint="eastAsia" w:ascii="仿宋_GB2312" w:hAnsi="仿宋" w:eastAsia="仿宋_GB2312"/>
          <w:sz w:val="32"/>
          <w:szCs w:val="32"/>
          <w:highlight w:val="none"/>
          <w:lang w:val="en-US" w:eastAsia="zh-CN"/>
        </w:rPr>
        <w:t>推进基层卫生院基础设施建设、康复理疗床位建设，提升服务能力</w:t>
      </w:r>
      <w:r>
        <w:rPr>
          <w:rFonts w:hint="eastAsia" w:ascii="仿宋" w:hAnsi="仿宋" w:eastAsia="仿宋" w:cs="仿宋"/>
          <w:sz w:val="32"/>
          <w:szCs w:val="32"/>
          <w:highlight w:val="none"/>
          <w:lang w:val="en-US" w:eastAsia="zh-CN"/>
        </w:rPr>
        <w:t>。到2022年底，推动全县全面实行镇村卫生服务一体化，农村卫生资源配置更趋合理，农村卫生资源得到有效利用。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35" w:name="_Toc17176_WPSOffice_Level3"/>
      <w:r>
        <w:rPr>
          <w:rFonts w:hint="eastAsia" w:ascii="仿宋" w:hAnsi="仿宋" w:eastAsia="仿宋" w:cs="仿宋"/>
          <w:b/>
          <w:bCs/>
          <w:sz w:val="32"/>
          <w:szCs w:val="32"/>
          <w:lang w:val="en-US" w:eastAsia="zh-CN"/>
        </w:rPr>
        <w:t>4.改善优化医疗卫生服务</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加强医疗质量监管，健全医疗安全保障体系，建立科学的医疗绩效评价机制以及医疗质量控制动态监测和反馈机制，实现医疗质量和安全持续改进。建立胸痛、卒中等重大急性病救治中心，提供医疗救治绿色通道和一体化综合救治</w:t>
      </w:r>
      <w:r>
        <w:rPr>
          <w:rFonts w:hint="eastAsia" w:ascii="仿宋" w:hAnsi="仿宋" w:eastAsia="仿宋" w:cs="仿宋"/>
          <w:b w:val="0"/>
          <w:bCs w:val="0"/>
          <w:color w:val="auto"/>
          <w:sz w:val="32"/>
          <w:szCs w:val="32"/>
          <w:lang w:val="en-US" w:eastAsia="zh-CN"/>
        </w:rPr>
        <w:t>服务。规范诊疗行为，完善医疗技术临床应用管理制度。优化</w:t>
      </w:r>
      <w:r>
        <w:rPr>
          <w:rFonts w:hint="eastAsia" w:ascii="仿宋" w:hAnsi="仿宋" w:eastAsia="仿宋" w:cs="仿宋"/>
          <w:b w:val="0"/>
          <w:bCs w:val="0"/>
          <w:color w:val="auto"/>
          <w:sz w:val="32"/>
          <w:szCs w:val="32"/>
          <w:lang w:eastAsia="zh-CN"/>
        </w:rPr>
        <w:t>血站服务体系建设，广泛开展无偿献血宣传动员，健全无偿献血激励机制，完善血液供应保障机制，补齐血液采集工作短板，提升血液采集、</w:t>
      </w:r>
      <w:r>
        <w:rPr>
          <w:rFonts w:hint="eastAsia" w:ascii="仿宋" w:hAnsi="仿宋" w:eastAsia="仿宋" w:cs="仿宋"/>
          <w:b w:val="0"/>
          <w:bCs w:val="0"/>
          <w:color w:val="auto"/>
          <w:sz w:val="32"/>
          <w:szCs w:val="32"/>
          <w:highlight w:val="none"/>
          <w:lang w:eastAsia="zh-CN"/>
        </w:rPr>
        <w:t>供应能力，推进临床合理用血。健全化解医疗纠纷长效机制，</w:t>
      </w:r>
      <w:r>
        <w:rPr>
          <w:rFonts w:hint="eastAsia" w:ascii="仿宋" w:hAnsi="仿宋" w:eastAsia="仿宋" w:cs="仿宋"/>
          <w:b w:val="0"/>
          <w:bCs w:val="0"/>
          <w:color w:val="auto"/>
          <w:sz w:val="32"/>
          <w:szCs w:val="32"/>
          <w:lang w:eastAsia="zh-CN"/>
        </w:rPr>
        <w:t>构建和谐医患关系。积极运用互联网等技术，发挥信息化支撑作用，优化诊疗服务流程，加强病区规范化建设，充分调动、发挥医务人员积极性，提高医疗服务水平，改善群众就医感受</w:t>
      </w:r>
      <w:r>
        <w:rPr>
          <w:rFonts w:hint="eastAsia" w:ascii="仿宋" w:hAnsi="仿宋" w:eastAsia="仿宋" w:cs="仿宋"/>
          <w:b w:val="0"/>
          <w:bCs w:val="0"/>
          <w:sz w:val="32"/>
          <w:szCs w:val="32"/>
          <w:lang w:eastAsia="zh-CN"/>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2" w:hRule="atLeast"/>
        </w:trPr>
        <w:tc>
          <w:tcPr>
            <w:tcW w:w="8522" w:type="dxa"/>
            <w:vAlign w:val="center"/>
          </w:tcPr>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【专栏1】增强医疗卫生服务能力项目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b/>
                <w:bCs/>
                <w:sz w:val="24"/>
                <w:szCs w:val="24"/>
                <w:highlight w:val="none"/>
                <w:lang w:val="en-US" w:eastAsia="zh-CN"/>
              </w:rPr>
              <w:t>1.医疗卫生建高地工程。</w:t>
            </w:r>
            <w:r>
              <w:rPr>
                <w:rFonts w:hint="eastAsia" w:ascii="楷体" w:hAnsi="楷体" w:eastAsia="楷体" w:cs="楷体"/>
                <w:sz w:val="24"/>
                <w:szCs w:val="24"/>
                <w:highlight w:val="none"/>
                <w:lang w:val="en-US" w:eastAsia="zh-CN"/>
              </w:rPr>
              <w:t>推动县直公立医院高水平建设，潮汕医院启动胸痛中心建设，并完成胸痛中心注册工作，强化胸痛中心、卒中中心，至2025年达到三级甲等水平；提升服务能力项目建设，至2025年县中医医院达到三级乙等水平、县妇幼保健院达到二级甲等水平。</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楷体" w:hAnsi="楷体" w:eastAsia="楷体" w:cs="楷体"/>
                <w:sz w:val="24"/>
                <w:szCs w:val="24"/>
                <w:lang w:val="en-US" w:eastAsia="zh-CN"/>
              </w:rPr>
            </w:pPr>
            <w:r>
              <w:rPr>
                <w:rFonts w:hint="eastAsia" w:ascii="楷体" w:hAnsi="楷体" w:eastAsia="楷体" w:cs="楷体"/>
                <w:b/>
                <w:bCs/>
                <w:sz w:val="24"/>
                <w:szCs w:val="24"/>
                <w:lang w:val="en-US" w:eastAsia="zh-CN"/>
              </w:rPr>
              <w:t>2.院前急救能力提升工程。</w:t>
            </w:r>
            <w:r>
              <w:rPr>
                <w:rFonts w:hint="eastAsia" w:ascii="楷体" w:hAnsi="楷体" w:eastAsia="楷体" w:cs="楷体"/>
                <w:sz w:val="24"/>
                <w:szCs w:val="24"/>
                <w:lang w:val="en-US" w:eastAsia="zh-CN"/>
              </w:rPr>
              <w:t xml:space="preserve"> 结合城乡功能布局、人口规模、服务需求，科学规划院前急救网络布局，加强院前医疗急救（指挥）中心项目建设，提升医疗急救服务能力。至2025年完成上饶卫生院急救站建设并形成服务能力。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3.紧密型县域医共体建设工程。</w:t>
            </w:r>
            <w:r>
              <w:rPr>
                <w:rFonts w:hint="eastAsia" w:ascii="楷体" w:hAnsi="楷体" w:eastAsia="楷体" w:cs="楷体"/>
                <w:b w:val="0"/>
                <w:bCs w:val="0"/>
                <w:sz w:val="24"/>
                <w:szCs w:val="24"/>
                <w:lang w:val="en-US" w:eastAsia="zh-CN"/>
              </w:rPr>
              <w:t>推动紧密型县域医共体建设，拓展组建架构，将全县22家基层卫生院全部并入医共体建设范畴。进一步完善各项制度，充分下发用人权、管理权，切实推动“六统一”管理等政策措施，最终达成县域医共体的大统一。</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left"/>
              <w:textAlignment w:val="auto"/>
              <w:rPr>
                <w:rFonts w:hint="eastAsia" w:ascii="楷体" w:hAnsi="楷体" w:eastAsia="楷体" w:cs="楷体"/>
                <w:sz w:val="32"/>
                <w:szCs w:val="32"/>
                <w:vertAlign w:val="baseline"/>
                <w:lang w:val="en-US" w:eastAsia="zh-CN"/>
              </w:rPr>
            </w:pPr>
            <w:r>
              <w:rPr>
                <w:rFonts w:hint="eastAsia" w:ascii="楷体" w:hAnsi="楷体" w:eastAsia="楷体" w:cs="楷体"/>
                <w:b/>
                <w:bCs/>
                <w:sz w:val="24"/>
                <w:szCs w:val="24"/>
                <w:lang w:val="en-US" w:eastAsia="zh-CN"/>
              </w:rPr>
              <w:t>4.基层医疗卫生机构提质增效工程。</w:t>
            </w:r>
            <w:r>
              <w:rPr>
                <w:rFonts w:hint="eastAsia" w:ascii="楷体" w:hAnsi="楷体" w:eastAsia="楷体" w:cs="楷体"/>
                <w:b w:val="0"/>
                <w:bCs w:val="0"/>
                <w:sz w:val="24"/>
                <w:szCs w:val="24"/>
                <w:lang w:val="en-US" w:eastAsia="zh-CN"/>
              </w:rPr>
              <w:t>强化基层卫生人员知识储备和培训演练。推进卫生健康适宜技术下基层。加强医养结合、社区护理、康复病床、家庭病床、上门巡诊、家庭医生签约服务、基本公共卫生等服务能力。</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default" w:asciiTheme="majorEastAsia" w:hAnsiTheme="majorEastAsia" w:eastAsiaTheme="majorEastAsia" w:cstheme="majorEastAsia"/>
          <w:b/>
          <w:bCs/>
          <w:sz w:val="32"/>
          <w:szCs w:val="32"/>
          <w:lang w:val="en-US" w:eastAsia="zh-CN"/>
        </w:rPr>
      </w:pPr>
      <w:bookmarkStart w:id="36" w:name="_Toc5757_WPSOffice_Level2"/>
      <w:r>
        <w:rPr>
          <w:rFonts w:hint="eastAsia" w:asciiTheme="majorEastAsia" w:hAnsiTheme="majorEastAsia" w:eastAsiaTheme="majorEastAsia" w:cstheme="majorEastAsia"/>
          <w:b/>
          <w:bCs/>
          <w:sz w:val="32"/>
          <w:szCs w:val="32"/>
          <w:lang w:val="en-US" w:eastAsia="zh-CN"/>
        </w:rPr>
        <w:t>（二）持续深化医药卫生体制改革</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37" w:name="_Toc21720_WPSOffice_Level3"/>
      <w:r>
        <w:rPr>
          <w:rFonts w:hint="eastAsia" w:ascii="仿宋" w:hAnsi="仿宋" w:eastAsia="仿宋" w:cs="仿宋"/>
          <w:b/>
          <w:bCs/>
          <w:sz w:val="32"/>
          <w:szCs w:val="32"/>
          <w:lang w:val="en-US" w:eastAsia="zh-CN"/>
        </w:rPr>
        <w:t>1.建立完善分级诊疗制度</w:t>
      </w:r>
      <w:bookmarkEnd w:id="3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以家庭医生签约服务为基础、医疗联合体为平台，推进基层医疗机构首诊和双向转诊，完善分级诊疗保障机制。</w:t>
      </w:r>
      <w:r>
        <w:rPr>
          <w:rFonts w:hint="eastAsia" w:ascii="仿宋" w:hAnsi="仿宋" w:eastAsia="仿宋" w:cs="仿宋"/>
          <w:color w:val="000000" w:themeColor="text1"/>
          <w:sz w:val="32"/>
          <w:szCs w:val="32"/>
          <w:highlight w:val="none"/>
          <w:lang w:val="en-US" w:eastAsia="zh-CN"/>
          <w14:textFill>
            <w14:solidFill>
              <w14:schemeClr w14:val="tx1"/>
            </w14:solidFill>
          </w14:textFill>
        </w:rPr>
        <w:t>明确各类医疗机构诊疗服务功能定位，进一步加强县域内医疗机构间双向转诊管理，对需转诊到县域外的病患进行会诊把关，推动实现大病不出县，加快提升县域住院率。逐步完善双向转诊标准和程序。</w:t>
      </w:r>
      <w:r>
        <w:rPr>
          <w:rFonts w:hint="eastAsia" w:ascii="仿宋" w:hAnsi="仿宋" w:eastAsia="仿宋" w:cs="仿宋"/>
          <w:sz w:val="32"/>
          <w:szCs w:val="32"/>
          <w:highlight w:val="none"/>
          <w:lang w:val="en-US" w:eastAsia="zh-CN"/>
        </w:rPr>
        <w:t>加快培养基层全科医生队伍，持续实施家庭医生签约服务制度。做实县域医共体建设，整合县域医疗卫生资源</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38" w:name="_Toc19183_WPSOffice_Level3"/>
      <w:r>
        <w:rPr>
          <w:rFonts w:hint="eastAsia" w:ascii="仿宋" w:hAnsi="仿宋" w:eastAsia="仿宋" w:cs="仿宋"/>
          <w:b/>
          <w:bCs/>
          <w:sz w:val="32"/>
          <w:szCs w:val="32"/>
          <w:lang w:val="en-US" w:eastAsia="zh-CN"/>
        </w:rPr>
        <w:t>2.推动公立医院高质量发展</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和加强党对公立医院的全面领导，全面执行和落实党委领导下的院长负责制，充分发挥公立医院党委的领导作用。建立健全现代医院管理制度，发挥公立医院县域医共体中的牵头作用。健全公立医院运营管理体系，健全绩效评价机制。强化信息化支撑作用，支持公立医院开展互联网诊疗，规范互联网诊疗运营模式，推动完善“互联网＋医疗服务”项目、价格，进一步规范“互联网＋医疗服务”的医保报销范围。为深化医疗体制改革，进一步提高医院运营管理效率，推进医疗服务精细化，赋能高质量发展。2022年底潮汕医院智慧医院信息化建设项目初步建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39" w:name="_Toc32143_WPSOffice_Level3"/>
      <w:r>
        <w:rPr>
          <w:rFonts w:hint="eastAsia" w:ascii="仿宋" w:hAnsi="仿宋" w:eastAsia="仿宋" w:cs="仿宋"/>
          <w:b/>
          <w:bCs/>
          <w:sz w:val="32"/>
          <w:szCs w:val="32"/>
          <w:lang w:val="en-US" w:eastAsia="zh-CN"/>
        </w:rPr>
        <w:t>3.推进医疗保障和医药服务协同改革</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⑴深化医疗保障制度改革。加快构建以促进健康为导向的创新型医疗保障制度，</w:t>
      </w:r>
      <w:r>
        <w:rPr>
          <w:rFonts w:hint="eastAsia" w:ascii="仿宋" w:hAnsi="仿宋" w:eastAsia="仿宋" w:cs="仿宋"/>
          <w:sz w:val="32"/>
          <w:szCs w:val="32"/>
          <w:highlight w:val="none"/>
          <w:lang w:val="en-US" w:eastAsia="zh-CN"/>
        </w:rPr>
        <w:t>健全基本医保稳健可持续筹资运行机制。完善医保基金总额预算管理，</w:t>
      </w:r>
      <w:r>
        <w:rPr>
          <w:rFonts w:hint="eastAsia" w:ascii="仿宋" w:hAnsi="仿宋" w:eastAsia="仿宋" w:cs="仿宋"/>
          <w:sz w:val="32"/>
          <w:szCs w:val="32"/>
          <w:lang w:val="en-US" w:eastAsia="zh-CN"/>
        </w:rPr>
        <w:t>深化医保支付方式改革，完善以按病种付费为主的多元复合支付方式，深化城乡居民高血压、糖尿病门诊用药保障机制。将符合条件的“互联网+”医疗服务纳入医保支付范围，探索“互联网+”医疗服务异地就医直接结算。积极推进紧密型医联体以绩效为导向的医保支付方式综合改革试点工作。完善省内异地就医直接结算服务，推进门诊和门诊特定病种医疗费用省内异地就医直接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推进医药服务协同改革。推进落实国家组织药品和耗材集中采购和使用工作，畅通中选品种进院渠道，将医疗机构执行国家组织药品和耗材集中采购使用情况纳入年度考核评价体系。完善医保支付标准与集中采购协同机制，制定集中采购的药品、医用耗材中选和非中选品种的医保支付标准，所有定点医疗机构执行统一的医保支付标准。加强医保配套政策协同，健全完善集中采购医保资金结余留用等激励约束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⑶推进医疗服务价格改革。健全灵敏有度的医疗服务价格动态调整机制，定期开展调价评估，达到启动条件的，积极稳妥有序实施调价，提高体现技术劳务价值的医疗服务价格。加快审核实施新增医疗服务价格项目。强化公立医疗机构医疗服务成本核算。依法依规改革优化政府制定医疗服务价格的行为规则和相关成本监审听证目录，允许定价部门采取科学筒明易行的方式开展成本调查和听取意见。完善“互联网+”医疗服务价格和医保支付政策，保持线上线下同类服务合理比价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40" w:name="_Toc8752_WPSOffice_Level3"/>
      <w:r>
        <w:rPr>
          <w:rFonts w:hint="eastAsia" w:ascii="仿宋" w:hAnsi="仿宋" w:eastAsia="仿宋" w:cs="仿宋"/>
          <w:b/>
          <w:bCs/>
          <w:sz w:val="32"/>
          <w:szCs w:val="32"/>
          <w:lang w:val="en-US" w:eastAsia="zh-CN"/>
        </w:rPr>
        <w:t>4.完善药品供应保障制度</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公立医疗机构基本药物优先配备使用和合理用药，提升基本药物使用占比，规范用药行为。加强二级医院与基层医疗卫生机构用药衔接，合理确定基层医疗卫生机构配备使用药品品种和数量。适当提高基层卫生院药品零差价等政策性、亏损和专科建设、人才培养等财政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41" w:name="_Toc19772_WPSOffice_Level3"/>
      <w:r>
        <w:rPr>
          <w:rFonts w:hint="eastAsia" w:ascii="仿宋" w:hAnsi="仿宋" w:eastAsia="仿宋" w:cs="仿宋"/>
          <w:b/>
          <w:bCs/>
          <w:sz w:val="32"/>
          <w:szCs w:val="32"/>
          <w:lang w:val="en-US" w:eastAsia="zh-CN"/>
        </w:rPr>
        <w:t>5.强化医疗卫生行业综合监管</w:t>
      </w:r>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全县医疗卫生行业综合监管体系和能力建设，强化医疗卫生服务要素准入、医疗卫生服务质量和安全、医疗卫生机构运行、公共卫生服务和健康产业新业态新模式监管。加强监督执法体系规范化建设，全面推行“双随机、一公开”监督抽查，建立健全信用监管、依法联合惩戒机制，推进综合监管结果协同运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6" w:hRule="atLeast"/>
        </w:trPr>
        <w:tc>
          <w:tcPr>
            <w:tcW w:w="8522" w:type="dxa"/>
          </w:tcPr>
          <w:p>
            <w:pPr>
              <w:keepNext w:val="0"/>
              <w:keepLines w:val="0"/>
              <w:pageBreakBefore w:val="0"/>
              <w:widowControl w:val="0"/>
              <w:kinsoku/>
              <w:wordWrap/>
              <w:overflowPunct/>
              <w:topLinePunct w:val="0"/>
              <w:autoSpaceDE/>
              <w:autoSpaceDN/>
              <w:bidi w:val="0"/>
              <w:adjustRightInd/>
              <w:snapToGrid/>
              <w:spacing w:before="157" w:beforeLines="50" w:line="500" w:lineRule="exact"/>
              <w:ind w:right="0" w:right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【专栏2】深化医改项目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1.卫生综合监督执法能力提升工程。</w:t>
            </w:r>
            <w:r>
              <w:rPr>
                <w:rFonts w:hint="eastAsia" w:ascii="楷体" w:hAnsi="楷体" w:eastAsia="楷体" w:cs="楷体"/>
                <w:b w:val="0"/>
                <w:bCs w:val="0"/>
                <w:sz w:val="24"/>
                <w:szCs w:val="24"/>
                <w:lang w:val="en-US" w:eastAsia="zh-CN"/>
              </w:rPr>
              <w:t>加强卫生监督执法机构规范化建设，改善卫生监督执法机构办案办公条件，加强卫生监督执法人员培训，提升卫生监督执法能力。配合推进省卫生监督执法信息系统和省级综合监管平台建设，逐步实现医疗卫生行业智慧化监管。</w:t>
            </w:r>
          </w:p>
          <w:p>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vertAlign w:val="baseline"/>
                <w:lang w:val="en-US" w:eastAsia="zh-CN"/>
              </w:rPr>
            </w:pPr>
            <w:r>
              <w:rPr>
                <w:rFonts w:hint="eastAsia" w:ascii="楷体" w:hAnsi="楷体" w:eastAsia="楷体" w:cs="楷体"/>
                <w:b/>
                <w:bCs/>
                <w:sz w:val="24"/>
                <w:szCs w:val="24"/>
                <w:lang w:val="en-US" w:eastAsia="zh-CN"/>
              </w:rPr>
              <w:t>2.药事管理服务改革项目。</w:t>
            </w:r>
            <w:r>
              <w:rPr>
                <w:rFonts w:hint="eastAsia" w:ascii="楷体" w:hAnsi="楷体" w:eastAsia="楷体" w:cs="楷体"/>
                <w:b w:val="0"/>
                <w:bCs w:val="0"/>
                <w:sz w:val="24"/>
                <w:szCs w:val="24"/>
                <w:lang w:val="en-US" w:eastAsia="zh-CN"/>
              </w:rPr>
              <w:t>依托全民健康信息综合管理平台，指导各级医疗机构接入广东省药物临床应用监测网，加强抗菌药物临床使用、感染性疾病、细菌耐药、真菌病等监测，形成“四网联动”，建立健全多学科协作体系。组织开展临床综合评价，重点选择慢性病用药、儿童用药、抗肿瘤药、抗菌药物等开展临床综合评价。督促医疗机构接入广东省远程处方审核中心，依托远程医疗平台，面向基层医疗卫生机构开展远程集中处方前置审核、远程药学会诊等项目，提升基层药师能力。</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42" w:name="_Toc2056_WPSOffice_Level2"/>
      <w:r>
        <w:rPr>
          <w:rFonts w:hint="eastAsia" w:asciiTheme="majorEastAsia" w:hAnsiTheme="majorEastAsia" w:eastAsiaTheme="majorEastAsia" w:cstheme="majorEastAsia"/>
          <w:b/>
          <w:bCs/>
          <w:sz w:val="32"/>
          <w:szCs w:val="32"/>
          <w:lang w:val="en-US" w:eastAsia="zh-CN"/>
        </w:rPr>
        <w:t>（三）织牢公共卫生防护网</w:t>
      </w:r>
      <w:bookmarkEnd w:id="4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43" w:name="_Toc22017_WPSOffice_Level3"/>
      <w:r>
        <w:rPr>
          <w:rFonts w:hint="eastAsia" w:ascii="仿宋" w:hAnsi="仿宋" w:eastAsia="仿宋" w:cs="仿宋"/>
          <w:b/>
          <w:bCs/>
          <w:sz w:val="32"/>
          <w:szCs w:val="32"/>
          <w:lang w:val="en-US" w:eastAsia="zh-CN"/>
        </w:rPr>
        <w:t>1.推进疾控体系现代化建设</w:t>
      </w:r>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健全职能清晰的疾病预防控制体系，以疾控机构为骨干，医疗机构为依托，基层医疗卫生机构为网底，构建职能清晰、机制顺畅、上下协同的疾病预防控制网络。改善疾病预防控制基础条件，推进疾控体系现代化建设。以重大传染病防控和突发公共卫生事件处置为核心，实施疾病预防控制机构能力提升工程，加强公共卫生风险评估，强化监测预警、风险研判、决策管理、检验检测、流行病学调查等现场调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为进一步提升我县重大传染病的检验、检测能力，县政府同意</w:t>
      </w:r>
      <w:r>
        <w:rPr>
          <w:rFonts w:hint="eastAsia" w:ascii="仿宋_GB2312" w:hAnsi="仿宋_GB2312" w:eastAsia="仿宋_GB2312" w:cs="仿宋_GB2312"/>
          <w:b w:val="0"/>
          <w:bCs w:val="0"/>
          <w:sz w:val="32"/>
          <w:szCs w:val="32"/>
          <w:lang w:val="en-US" w:eastAsia="zh-CN"/>
        </w:rPr>
        <w:t>县疾控中心</w:t>
      </w:r>
      <w:r>
        <w:rPr>
          <w:rFonts w:hint="eastAsia" w:ascii="仿宋" w:hAnsi="仿宋" w:eastAsia="仿宋" w:cs="仿宋"/>
          <w:sz w:val="32"/>
          <w:szCs w:val="32"/>
          <w:lang w:val="en-US" w:eastAsia="zh-CN"/>
        </w:rPr>
        <w:t>建设</w:t>
      </w:r>
      <w:r>
        <w:rPr>
          <w:rFonts w:hint="eastAsia" w:ascii="仿宋" w:hAnsi="仿宋" w:eastAsia="仿宋" w:cs="仿宋"/>
          <w:sz w:val="32"/>
          <w:szCs w:val="32"/>
          <w:highlight w:val="none"/>
          <w:lang w:val="en-US" w:eastAsia="zh-CN"/>
        </w:rPr>
        <w:t>县卫生检验中心实验大楼建设项目，总投资7108万元。项目按二级生物实验室的标准建设理化实验室、生化实验室、微生物实验室、病毒检测室、PCR实验室等专业检验检测室；具备核酸高通量检测能力，确保单日最高核酸检测量达到2500人份以上。镇卫生院、村（社区）</w:t>
      </w:r>
      <w:r>
        <w:rPr>
          <w:rFonts w:hint="eastAsia" w:ascii="仿宋" w:hAnsi="仿宋" w:eastAsia="仿宋" w:cs="仿宋"/>
          <w:sz w:val="32"/>
          <w:szCs w:val="32"/>
          <w:lang w:val="en-US" w:eastAsia="zh-CN"/>
        </w:rPr>
        <w:t>卫生站加强健康教育、传染病疫情报告、流行病学调查和重点人群的健康监测管理等能力建设。持续推进疫苗冷链系统和各类接种单位规范化建设，提升疫苗流通和接种管理信息化水平。发挥科技对公共卫生的支撑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44" w:name="_Toc24554_WPSOffice_Level3"/>
      <w:r>
        <w:rPr>
          <w:rFonts w:hint="eastAsia" w:ascii="仿宋" w:hAnsi="仿宋" w:eastAsia="仿宋" w:cs="仿宋"/>
          <w:b/>
          <w:bCs/>
          <w:sz w:val="32"/>
          <w:szCs w:val="32"/>
          <w:lang w:val="en-US" w:eastAsia="zh-CN"/>
        </w:rPr>
        <w:t>2.推进卫生应急管理体系和能力现代化</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抓好重大疾病防控工作，突出抓好新冠肺炎、禽流感、登革热等急性传染病防控工作，成立传染病和突发卫生事件工作领导小组，加强重点突发急性传染病防控，明确政府、部门、单位、个人的疾病防控四方责任，成立应急流调队伍，处置县辖区内传染病突发事件，加强重症医疗科、感染性疾病控制科建设，配备负压病房等设施设备，提高突发急性传染病隔离救治能力和应急处置能力，加强对全县应急人员现场流行病学培训，培养基层防控骨干力量。提升突发事件卫生应急能力，加强卫生应急队伍建设，实现县域内突发急性传染病防控类、紧急医学救援类队伍全覆盖。完善公共卫生应急物资储备目录，合理确定各级政府储备规模，实行分级储备、动态调整。深入开展卫生应急知识宣教，强化基层卫生人员知识储备和培训演练，提升先期处置能力，同时提高人民群众对突发公共卫生事件认知水平和预防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45" w:name="_Toc20404_WPSOffice_Level3"/>
      <w:r>
        <w:rPr>
          <w:rFonts w:hint="eastAsia" w:ascii="仿宋" w:hAnsi="仿宋" w:eastAsia="仿宋" w:cs="仿宋"/>
          <w:b/>
          <w:bCs/>
          <w:sz w:val="32"/>
          <w:szCs w:val="32"/>
          <w:lang w:val="en-US" w:eastAsia="zh-CN"/>
        </w:rPr>
        <w:t>3.健全重大疫情救治体系</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按照“平战结合”原则，建立健全以县级传染病定点医疗救治医院（潮汕医院）为主，新丰中心卫生院传染病区及其他医疗机构发热门诊（诊室）为辅的传染病救治体系。重点加强县级传染病定点救治医院 感染病科和ICU专科能力建设，提高危急重症救治能力。重点强化县级传染病救治基础设施建设和物资储备，加强重症监护病区建设。完善各级医疗机构规范化发热门诊（诊室）和预检分诊点设置。强化公共设施平战两用改造，确保具备快速转化救治和隔离场所的基本条件。完善医疗废弃物收集转运处置体系，持续提升医疗废物集中处置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46" w:name="_Toc10548_WPSOffice_Level3"/>
      <w:r>
        <w:rPr>
          <w:rFonts w:hint="eastAsia" w:ascii="仿宋" w:hAnsi="仿宋" w:eastAsia="仿宋" w:cs="仿宋"/>
          <w:b/>
          <w:bCs/>
          <w:sz w:val="32"/>
          <w:szCs w:val="32"/>
          <w:lang w:val="en-US" w:eastAsia="zh-CN"/>
        </w:rPr>
        <w:t>4.创新医防协同机制</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 w:hAnsi="仿宋" w:eastAsia="仿宋" w:cs="仿宋"/>
          <w:sz w:val="32"/>
          <w:szCs w:val="32"/>
          <w:lang w:val="en-US" w:eastAsia="zh-CN"/>
        </w:rPr>
        <w:t>医疗机构和专业卫生机构的深度协作。建立社区疾病预防控制片区责任制，完善网格化的基层疾病防控网络。公共卫生安全体系进一步提升，根据全国疫情形势变化及时有效优化疫情防控各项措施和规定要求，健全疾控机构与城乡社区联动工作机制，形成上下联动，各单位就近支援，有效地应急突发疫情事件。</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47" w:name="_Toc27281_WPSOffice_Level2"/>
      <w:r>
        <w:rPr>
          <w:rFonts w:hint="eastAsia" w:asciiTheme="majorEastAsia" w:hAnsiTheme="majorEastAsia" w:eastAsiaTheme="majorEastAsia" w:cstheme="majorEastAsia"/>
          <w:b/>
          <w:bCs/>
          <w:sz w:val="32"/>
          <w:szCs w:val="32"/>
          <w:lang w:val="en-US" w:eastAsia="zh-CN"/>
        </w:rPr>
        <w:t>（四）强化重点疾病预防控制</w:t>
      </w:r>
      <w:bookmarkEnd w:id="4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48" w:name="_Toc28103_WPSOffice_Level3"/>
      <w:r>
        <w:rPr>
          <w:rFonts w:hint="eastAsia" w:ascii="仿宋" w:hAnsi="仿宋" w:eastAsia="仿宋" w:cs="仿宋"/>
          <w:b/>
          <w:bCs/>
          <w:sz w:val="32"/>
          <w:szCs w:val="32"/>
          <w:lang w:val="en-US" w:eastAsia="zh-CN"/>
        </w:rPr>
        <w:t>1.强化突发急性传染病防控</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突发急性传染病防治监测网络，织密监测哨点布局。按照省、市部署，做好新冠病毒肺炎、鼠疫、禽流感、登革热、流感、诺如等突发急性传染病以及中东呼吸综合征、埃博拉出血热等新发传染病监测。强化医疗机构发热门诊（诊室）等重点单位，市场外环境、集中隔离场所、交通站场、冷链冷库、农贸市场、学校及幼托机构等重点场所，动物疫病等多维度多渠道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完善智慧化预警多点触发机制，健全多渠道监测预警机制。增强风险评估能力，分区域分等级评估突发急性传染病风险，实施分级分类防控。坚持“早发现、早报告、早诊断、早治疗”和“集中患者、集中专家、集中资源、集中救治”的“四早”“四集中”的原则，全力减少重症和死亡病例。充分发挥公共卫生与重大疾病防治工作领导小组作用，落实属地、部门、单位、个人“四方责任”，完善联防联控、群防群控模式，推动专业防控和社会力量参与有机结合。强化常态化疫情防控措施落实，筑牢“外防输入、内防扩散”防线，确保突发急性传染病疫情有效有序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49" w:name="_Toc2502_WPSOffice_Level3"/>
      <w:r>
        <w:rPr>
          <w:rFonts w:hint="eastAsia" w:ascii="仿宋" w:hAnsi="仿宋" w:eastAsia="仿宋" w:cs="仿宋"/>
          <w:b/>
          <w:bCs/>
          <w:sz w:val="32"/>
          <w:szCs w:val="32"/>
          <w:lang w:val="en-US" w:eastAsia="zh-CN"/>
        </w:rPr>
        <w:t>2.加强重大传染病防控</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定不移贯彻预防为主方针，坚持防治结合，优化重大疾病防治策略，强化重大传染病和地方病防控。推动多部门形成合力，强化艾滋病全流程防治，推动公共场所从业人员艾滋病人筛查，有针对性开展宣传教育、检测咨询、诊断治疗、随访服务和综合干预。推动社会组织培育，加强志愿者参与艾滋病高危人群干预、宣传等工作</w:t>
      </w:r>
      <w:r>
        <w:rPr>
          <w:rFonts w:hint="eastAsia" w:ascii="仿宋" w:hAnsi="仿宋" w:eastAsia="仿宋" w:cs="仿宋"/>
          <w:sz w:val="32"/>
          <w:szCs w:val="32"/>
          <w:highlight w:val="none"/>
          <w:lang w:val="en-US" w:eastAsia="zh-CN"/>
        </w:rPr>
        <w:t>。依托全市艾滋病性病防治监测网络，加强加强县域重点人群和高危人群的检测随访和综合干预，推广检测咨询、诊断治疗“一站式”服务。</w:t>
      </w:r>
      <w:r>
        <w:rPr>
          <w:rFonts w:hint="eastAsia" w:ascii="仿宋" w:hAnsi="仿宋" w:eastAsia="仿宋" w:cs="仿宋"/>
          <w:sz w:val="32"/>
          <w:szCs w:val="32"/>
          <w:lang w:val="en-US" w:eastAsia="zh-CN"/>
        </w:rPr>
        <w:t>健全性病综合防治体系，提升性病综合防治能力和水平。推动将艾滋病、梅毒检测咨询纳入婚前自愿医学检查内容。持续推进消除艾滋病、梅毒和乙肝母婴传播，实施消除丙肝公共卫生危害行动。完善结核病“三位一体”综合防治服务模式，提高“防、诊、治、管、教”相结合的综合服务能力和质量，加强重点人群、重点地区、重点时段结核病防控。强化肺结核主动筛查和耐药肺结核规范化治疗管理，推进肺结核患者全流程随诊管理和患者关怀，不断提升学校结核病疫情监测和处置能力。开展麻风病症状监测和流动人口麻风病例筛查，规范麻风病诊疗及随访管理。推进艾滋病定点医院建设，初定潮汕医院为艾滋病定点医院。到2025年，艾滋病全人群感染率、5岁以下儿童乙型肝炎病毒表面抗原流行率分别控制在0.16%、0.9%以下，肺结核发病率降至50/10万以下，一二期梅毒报告发病率呈下降趋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50" w:name="_Toc8655_WPSOffice_Level3"/>
      <w:r>
        <w:rPr>
          <w:rFonts w:hint="eastAsia" w:ascii="仿宋" w:hAnsi="仿宋" w:eastAsia="仿宋" w:cs="仿宋"/>
          <w:b/>
          <w:bCs/>
          <w:sz w:val="32"/>
          <w:szCs w:val="32"/>
          <w:lang w:val="en-US" w:eastAsia="zh-CN"/>
        </w:rPr>
        <w:t>3.实施慢性病综合防控</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老年常见慢性病监测工作。加强对目标人群的血压、血糖、血脂、肺功能等检查监测，开展35岁以上人群的首诊血压血糖检测。完善死因监测、肿瘤随访登记、心脑血管疾病监测、慢性呼吸系统疾病监测系统，与医疗卫生机构信息系统实现互联互通，加快构建覆盖全县的慢性病综合监测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51" w:name="_Toc23058_WPSOffice_Level3"/>
      <w:r>
        <w:rPr>
          <w:rFonts w:hint="eastAsia" w:ascii="仿宋" w:hAnsi="仿宋" w:eastAsia="仿宋" w:cs="仿宋"/>
          <w:b/>
          <w:bCs/>
          <w:sz w:val="32"/>
          <w:szCs w:val="32"/>
          <w:lang w:val="en-US" w:eastAsia="zh-CN"/>
        </w:rPr>
        <w:t>4.健全精神卫生和心理服务体系</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县精卫中心软硬件建设，加强基层精防人员培训，进一步完善基层精神卫生综合管理小组、关爱帮扶小组的有效运转机制，推广精神分裂症患者长效针剂使用。持续加强全县心理健康服务网络，建立健全心理健康服务和社会心理服务体系与工作机制，推动形成部门齐抓共管、社会力量积极参与、单位家庭个人尽力尽责的工作格局。到2025年，报告患病率7.0‰，规范管理率95%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52" w:name="_Toc8931_WPSOffice_Level3"/>
      <w:r>
        <w:rPr>
          <w:rFonts w:hint="eastAsia" w:ascii="仿宋" w:hAnsi="仿宋" w:eastAsia="仿宋" w:cs="仿宋"/>
          <w:b/>
          <w:bCs/>
          <w:sz w:val="32"/>
          <w:szCs w:val="32"/>
          <w:lang w:val="en-US" w:eastAsia="zh-CN"/>
        </w:rPr>
        <w:t>5.强化免疫规划工作</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严格落实疫苗管理法，依法依规进行疫苗使用管理和预防接种服务；持续推进预防接种单位规范化建设；加大预防接种信息化建设投入，落实疫苗全程电子追溯，加强冷链系统建设和管理。落实国家扩大免疫规划和儿童入托、入学预防接种证查验制度，做好查漏补种和补充免疫，重点关注流动儿童和偏远地区儿童，确保以乡镇为单位国家免疫规划疫苗接种率维持在90%以上。积极开展循证研究，持续优化我县疫苗免疫策略，积极推动成人疫苗接种。加强疫苗可预防疾病监测和人群免疫水平监测。做好疑似预防接种异常反应监测，开展和完善预防接种异常反应保险补偿工作。将预防接种等疾病预防控制工作情况、对疾病预防控制机构财政政策落实情况等纳入政府考核内容</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53" w:name="_Toc23444_WPSOffice_Level3"/>
      <w:r>
        <w:rPr>
          <w:rFonts w:hint="eastAsia" w:ascii="仿宋" w:hAnsi="仿宋" w:eastAsia="仿宋" w:cs="仿宋"/>
          <w:b/>
          <w:bCs/>
          <w:sz w:val="32"/>
          <w:szCs w:val="32"/>
          <w:lang w:val="en-US" w:eastAsia="zh-CN"/>
        </w:rPr>
        <w:t>6.巩固重点寄生虫病、地方病防治成果</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医疗卫生机构普及地方病防治知识，充分利用传统媒体、社交平台等新媒体，开展多层次全方位的传染病与地方病防治宣传教育活动。到2025年县</w:t>
      </w:r>
      <w:r>
        <w:rPr>
          <w:rFonts w:hint="eastAsia" w:ascii="仿宋" w:hAnsi="仿宋" w:eastAsia="仿宋" w:cs="仿宋"/>
          <w:sz w:val="32"/>
          <w:szCs w:val="32"/>
          <w:lang w:val="en-US" w:eastAsia="zh-CN"/>
        </w:rPr>
        <w:t>一级</w:t>
      </w:r>
      <w:r>
        <w:rPr>
          <w:rFonts w:hint="eastAsia" w:ascii="仿宋" w:hAnsi="仿宋" w:eastAsia="仿宋" w:cs="仿宋"/>
          <w:sz w:val="32"/>
          <w:szCs w:val="32"/>
        </w:rPr>
        <w:t>具备疟原虫核酸检测能力。目前</w:t>
      </w:r>
      <w:r>
        <w:rPr>
          <w:rFonts w:hint="eastAsia" w:ascii="仿宋" w:hAnsi="仿宋" w:eastAsia="仿宋" w:cs="仿宋"/>
          <w:sz w:val="32"/>
          <w:szCs w:val="32"/>
          <w:lang w:eastAsia="zh-CN"/>
        </w:rPr>
        <w:t>全</w:t>
      </w:r>
      <w:r>
        <w:rPr>
          <w:rFonts w:hint="eastAsia" w:ascii="仿宋" w:hAnsi="仿宋" w:eastAsia="仿宋" w:cs="仿宋"/>
          <w:sz w:val="32"/>
          <w:szCs w:val="32"/>
        </w:rPr>
        <w:t>县21个镇地氟病区村改水均已超过5年，水氟含量符合《生活饮用水卫生标准》，在校8</w:t>
      </w:r>
      <w:r>
        <w:rPr>
          <w:rFonts w:hint="eastAsia" w:ascii="仿宋" w:hAnsi="仿宋" w:eastAsia="仿宋" w:cs="仿宋"/>
          <w:sz w:val="32"/>
          <w:szCs w:val="32"/>
          <w:lang w:val="en-US" w:eastAsia="zh-CN"/>
        </w:rPr>
        <w:t>-</w:t>
      </w:r>
      <w:r>
        <w:rPr>
          <w:rFonts w:hint="eastAsia" w:ascii="仿宋" w:hAnsi="仿宋" w:eastAsia="仿宋" w:cs="仿宋"/>
          <w:sz w:val="32"/>
          <w:szCs w:val="32"/>
        </w:rPr>
        <w:t>12岁儿童氟斑牙患病率≤30%，居民也未发现因饮用水导致氟中毒现象，地方性氟中毒得到根本性的控制。继续保持地氟病区控制标准，全县已达到国家碘缺乏病消除标准。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8522" w:type="dxa"/>
          </w:tcPr>
          <w:p>
            <w:pPr>
              <w:keepNext w:val="0"/>
              <w:keepLines w:val="0"/>
              <w:pageBreakBefore w:val="0"/>
              <w:widowControl w:val="0"/>
              <w:kinsoku/>
              <w:wordWrap/>
              <w:overflowPunct/>
              <w:topLinePunct w:val="0"/>
              <w:autoSpaceDE/>
              <w:autoSpaceDN/>
              <w:bidi w:val="0"/>
              <w:adjustRightInd/>
              <w:snapToGrid/>
              <w:spacing w:before="157" w:beforeLines="50" w:line="500" w:lineRule="exact"/>
              <w:ind w:right="0" w:right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【专栏3】公共卫生防护项目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bCs/>
                <w:sz w:val="24"/>
                <w:szCs w:val="24"/>
                <w:lang w:val="en-US" w:eastAsia="zh-CN"/>
              </w:rPr>
              <w:t>1.疾病预防控制机构能力提升工程。</w:t>
            </w:r>
            <w:r>
              <w:rPr>
                <w:rFonts w:hint="eastAsia" w:ascii="楷体" w:hAnsi="楷体" w:eastAsia="楷体" w:cs="楷体"/>
                <w:b w:val="0"/>
                <w:bCs w:val="0"/>
                <w:sz w:val="24"/>
                <w:szCs w:val="24"/>
                <w:lang w:val="en-US" w:eastAsia="zh-CN"/>
              </w:rPr>
              <w:t>推动县艾滋病治疗点建设。加快推进县级疾控中心实验室检测能力建设。达到生物安全二级防护水平并具备相应的单日核酸检测能力。依托市、县疾控中心建立市、县</w:t>
            </w:r>
            <w:r>
              <w:rPr>
                <w:rFonts w:hint="eastAsia" w:ascii="楷体" w:hAnsi="楷体" w:eastAsia="楷体" w:cs="楷体"/>
                <w:b w:val="0"/>
                <w:bCs w:val="0"/>
                <w:sz w:val="24"/>
                <w:szCs w:val="24"/>
                <w:highlight w:val="none"/>
                <w:lang w:val="en-US" w:eastAsia="zh-CN"/>
              </w:rPr>
              <w:t>二级突发急性传染病防控队伍，加强和完善装备配置。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b/>
                <w:bCs/>
                <w:sz w:val="24"/>
                <w:szCs w:val="24"/>
                <w:highlight w:val="none"/>
                <w:lang w:val="en-US" w:eastAsia="zh-CN"/>
              </w:rPr>
              <w:t>2.公共卫生防控救治能力提升工程。</w:t>
            </w:r>
            <w:r>
              <w:rPr>
                <w:rFonts w:hint="eastAsia" w:ascii="楷体" w:hAnsi="楷体" w:eastAsia="楷体" w:cs="楷体"/>
                <w:b w:val="0"/>
                <w:bCs w:val="0"/>
                <w:sz w:val="24"/>
                <w:szCs w:val="24"/>
                <w:highlight w:val="none"/>
                <w:lang w:val="en-US" w:eastAsia="zh-CN"/>
              </w:rPr>
              <w:t>潮汕医院完成传染病区可转换病床及重症监护病区床位建设。</w:t>
            </w:r>
          </w:p>
          <w:p>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vertAlign w:val="baseline"/>
              </w:rPr>
            </w:pPr>
            <w:r>
              <w:rPr>
                <w:rFonts w:hint="eastAsia" w:ascii="楷体" w:hAnsi="楷体" w:eastAsia="楷体" w:cs="楷体"/>
                <w:b/>
                <w:bCs/>
                <w:sz w:val="24"/>
                <w:szCs w:val="24"/>
                <w:lang w:val="en-US" w:eastAsia="zh-CN"/>
              </w:rPr>
              <w:t>3.精神卫生体系建强工程。</w:t>
            </w:r>
            <w:r>
              <w:rPr>
                <w:rFonts w:hint="eastAsia" w:ascii="楷体" w:hAnsi="楷体" w:eastAsia="楷体" w:cs="楷体"/>
                <w:b w:val="0"/>
                <w:bCs w:val="0"/>
                <w:sz w:val="24"/>
                <w:szCs w:val="24"/>
                <w:lang w:val="en-US" w:eastAsia="zh-CN"/>
              </w:rPr>
              <w:t>县第三人民医院建设项目以二级精神病专科医院的标准，建设总床位260张，改善了我县严重精神疾病的医疗救治康复服务能力。</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54" w:name="_Toc28459_WPSOffice_Level2"/>
      <w:r>
        <w:rPr>
          <w:rFonts w:hint="eastAsia" w:asciiTheme="majorEastAsia" w:hAnsiTheme="majorEastAsia" w:eastAsiaTheme="majorEastAsia" w:cstheme="majorEastAsia"/>
          <w:b/>
          <w:bCs/>
          <w:sz w:val="32"/>
          <w:szCs w:val="32"/>
          <w:lang w:val="en-US" w:eastAsia="zh-CN"/>
        </w:rPr>
        <w:t>（五）全方位干预主要健康因素</w:t>
      </w:r>
      <w:bookmarkEnd w:id="5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55" w:name="_Toc68_WPSOffice_Level3"/>
      <w:r>
        <w:rPr>
          <w:rFonts w:hint="eastAsia" w:ascii="仿宋" w:hAnsi="仿宋" w:eastAsia="仿宋" w:cs="仿宋"/>
          <w:b/>
          <w:bCs/>
          <w:sz w:val="32"/>
          <w:szCs w:val="32"/>
          <w:lang w:val="en-US" w:eastAsia="zh-CN"/>
        </w:rPr>
        <w:t>1.深入开展爱国卫生运动</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rPr>
        <w:t>深入开展爱国卫生运动，持续落实“三个一”环境卫生整治制度。组织开展了爱国卫生月、爱国卫生周、环境卫生整治、传染病防控等经常性整治行动。丰富爱国卫生工作内涵，创新方式方法，逐步推动以环境卫生治理为重点的爱国卫生运动向开展全面健康管理转变。强化病媒生物防制的科学性和专业性，健全病媒生物监测网络</w:t>
      </w:r>
      <w:r>
        <w:rPr>
          <w:rFonts w:hint="eastAsia" w:ascii="仿宋" w:hAnsi="仿宋" w:eastAsia="仿宋" w:cs="仿宋"/>
          <w:sz w:val="32"/>
          <w:szCs w:val="32"/>
          <w:lang w:eastAsia="zh-CN"/>
        </w:rPr>
        <w:t>，</w:t>
      </w:r>
      <w:r>
        <w:rPr>
          <w:rFonts w:hint="eastAsia" w:ascii="仿宋" w:hAnsi="仿宋" w:eastAsia="仿宋" w:cs="仿宋"/>
          <w:sz w:val="32"/>
          <w:szCs w:val="32"/>
        </w:rPr>
        <w:t>蚊、蝇、鼠、蟑四类病媒生物密度监测</w:t>
      </w:r>
      <w:r>
        <w:rPr>
          <w:rFonts w:hint="eastAsia" w:ascii="仿宋" w:hAnsi="仿宋" w:eastAsia="仿宋" w:cs="仿宋"/>
          <w:sz w:val="32"/>
          <w:szCs w:val="32"/>
          <w:lang w:val="en-US" w:eastAsia="zh-CN"/>
        </w:rPr>
        <w:t>镇</w:t>
      </w:r>
      <w:r>
        <w:rPr>
          <w:rFonts w:hint="eastAsia" w:ascii="仿宋" w:hAnsi="仿宋" w:eastAsia="仿宋" w:cs="仿宋"/>
          <w:sz w:val="32"/>
          <w:szCs w:val="32"/>
        </w:rPr>
        <w:t>开展</w:t>
      </w:r>
      <w:r>
        <w:rPr>
          <w:rFonts w:hint="eastAsia" w:ascii="仿宋" w:hAnsi="仿宋" w:eastAsia="仿宋" w:cs="仿宋"/>
          <w:sz w:val="32"/>
          <w:szCs w:val="32"/>
          <w:lang w:val="en-US" w:eastAsia="zh-CN"/>
        </w:rPr>
        <w:t>率</w:t>
      </w:r>
      <w:r>
        <w:rPr>
          <w:rFonts w:hint="eastAsia" w:ascii="仿宋" w:hAnsi="仿宋" w:eastAsia="仿宋" w:cs="仿宋"/>
          <w:sz w:val="32"/>
          <w:szCs w:val="32"/>
        </w:rPr>
        <w:t>达100%。协同推进生活垃圾分类和污水治理工作。将农村无害化卫生厕所建设纳入创建卫生村镇、卫生县城考核标准，完</w:t>
      </w:r>
      <w:r>
        <w:rPr>
          <w:rFonts w:hint="eastAsia" w:ascii="仿宋" w:hAnsi="仿宋" w:eastAsia="仿宋" w:cs="仿宋"/>
          <w:sz w:val="32"/>
          <w:szCs w:val="32"/>
          <w:highlight w:val="none"/>
        </w:rPr>
        <w:t>善水质监测网络，保障饮用水安全。推动黄冈镇创建国家卫生县，新丰镇创建国家卫生镇，建饶、汤溪、东山、钱东、樟溪、高堂、汫洲、柘林等八个乡镇创建广东省卫生镇工作。巩固和推进卫生乡镇创建，探索健康城市建设，加快推进健康细胞建设，全面推进公共场所禁烟，培育无烟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56" w:name="_Toc19804_WPSOffice_Level3"/>
      <w:r>
        <w:rPr>
          <w:rFonts w:hint="eastAsia" w:ascii="仿宋" w:hAnsi="仿宋" w:eastAsia="仿宋" w:cs="仿宋"/>
          <w:b/>
          <w:bCs/>
          <w:sz w:val="32"/>
          <w:szCs w:val="32"/>
          <w:lang w:val="en-US" w:eastAsia="zh-CN"/>
        </w:rPr>
        <w:t>2.强化食品安全和营养健康</w:t>
      </w:r>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加强推进食品安全和营养健康，完善食品安全标准与监测评估工作体系，完善食品安全风险监测网络，进一步向农村地区延伸</w:t>
      </w:r>
      <w:r>
        <w:rPr>
          <w:rFonts w:hint="eastAsia" w:ascii="仿宋" w:hAnsi="仿宋" w:eastAsia="仿宋" w:cs="仿宋"/>
          <w:sz w:val="32"/>
          <w:szCs w:val="32"/>
          <w:lang w:eastAsia="zh-CN"/>
        </w:rPr>
        <w:t>。</w:t>
      </w:r>
      <w:r>
        <w:rPr>
          <w:rFonts w:hint="eastAsia" w:ascii="仿宋" w:hAnsi="仿宋" w:eastAsia="仿宋" w:cs="仿宋"/>
          <w:sz w:val="32"/>
          <w:szCs w:val="32"/>
        </w:rPr>
        <w:t>到2025年实现</w:t>
      </w:r>
      <w:r>
        <w:rPr>
          <w:rFonts w:hint="eastAsia" w:ascii="仿宋" w:hAnsi="仿宋" w:eastAsia="仿宋" w:cs="仿宋"/>
          <w:sz w:val="32"/>
          <w:szCs w:val="32"/>
          <w:lang w:eastAsia="zh-CN"/>
        </w:rPr>
        <w:t>各</w:t>
      </w:r>
      <w:r>
        <w:rPr>
          <w:rFonts w:hint="eastAsia" w:ascii="仿宋" w:hAnsi="仿宋" w:eastAsia="仿宋" w:cs="仿宋"/>
          <w:sz w:val="32"/>
          <w:szCs w:val="32"/>
        </w:rPr>
        <w:t>镇食品安全风险监测网络全覆盖。强化监测机构实验室检测能力，拓展监测项目。针对我县消费量高且具有地方特色的潮州菜或潮州特色食品开展市级食品安全风险监测工作。加强食源性疾病监测，完善食源性疾病监测网络，病例监测报告医院覆盖到所有开展食源性疾病诊疗的医疗机构。针对监测网络制订奖惩制度，加大对监测机构的督查力度，提升监测报告率和报告质量。针对孕产妇</w:t>
      </w:r>
      <w:r>
        <w:rPr>
          <w:rFonts w:hint="eastAsia" w:ascii="仿宋" w:hAnsi="仿宋" w:eastAsia="仿宋" w:cs="仿宋"/>
          <w:sz w:val="32"/>
          <w:szCs w:val="32"/>
          <w:lang w:eastAsia="zh-CN"/>
        </w:rPr>
        <w:t>、</w:t>
      </w:r>
      <w:r>
        <w:rPr>
          <w:rFonts w:hint="eastAsia" w:ascii="仿宋" w:hAnsi="仿宋" w:eastAsia="仿宋" w:cs="仿宋"/>
          <w:sz w:val="32"/>
          <w:szCs w:val="32"/>
        </w:rPr>
        <w:t>新生儿</w:t>
      </w:r>
      <w:r>
        <w:rPr>
          <w:rFonts w:hint="eastAsia" w:ascii="仿宋" w:hAnsi="仿宋" w:eastAsia="仿宋" w:cs="仿宋"/>
          <w:sz w:val="32"/>
          <w:szCs w:val="32"/>
          <w:lang w:eastAsia="zh-CN"/>
        </w:rPr>
        <w:t>、</w:t>
      </w:r>
      <w:r>
        <w:rPr>
          <w:rFonts w:hint="eastAsia" w:ascii="仿宋" w:hAnsi="仿宋" w:eastAsia="仿宋" w:cs="仿宋"/>
          <w:sz w:val="32"/>
          <w:szCs w:val="32"/>
        </w:rPr>
        <w:t>学生</w:t>
      </w:r>
      <w:r>
        <w:rPr>
          <w:rFonts w:hint="eastAsia" w:ascii="仿宋" w:hAnsi="仿宋" w:eastAsia="仿宋" w:cs="仿宋"/>
          <w:sz w:val="32"/>
          <w:szCs w:val="32"/>
          <w:lang w:eastAsia="zh-CN"/>
        </w:rPr>
        <w:t>、</w:t>
      </w:r>
      <w:r>
        <w:rPr>
          <w:rFonts w:hint="eastAsia" w:ascii="仿宋" w:hAnsi="仿宋" w:eastAsia="仿宋" w:cs="仿宋"/>
          <w:sz w:val="32"/>
          <w:szCs w:val="32"/>
        </w:rPr>
        <w:t>老年人、困难群体等重点人群开展营养干预行动。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57" w:name="_Toc32335_WPSOffice_Level3"/>
      <w:r>
        <w:rPr>
          <w:rFonts w:hint="eastAsia" w:ascii="仿宋" w:hAnsi="仿宋" w:eastAsia="仿宋" w:cs="仿宋"/>
          <w:b/>
          <w:bCs/>
          <w:sz w:val="32"/>
          <w:szCs w:val="32"/>
          <w:lang w:val="en-US" w:eastAsia="zh-CN"/>
        </w:rPr>
        <w:t>3.完善全民健身公共服务体系</w:t>
      </w:r>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统筹建设全民健身设施，加大公共体育场馆建设力度，加强健身步道、骑行道、登山步道、体育公园、全民健身运动中心、社会足球场地、田径场、户外运动营地及公共服务设施等场地建设。将体育基础设施配套建设纳入美丽乡村项目硬指标，并明确配套建设的内容及规模，以此来扩大体育建设面积。在县城区建设综合性大型公共体育场馆、田径场、大型体育公园（4万㎡以上），弥补我县的短板，满足群众健身和举办各类体育赛事的需求。在各镇区建设一批中大型社区体育公园（3000㎡以上或6000㎡以上）、健身步道，解决区域性群众“去哪儿锻炼”的民生问题，提升群众的身体素质和幸福感，加快“15分钟健身圈”覆盖建设。</w:t>
      </w:r>
      <w:r>
        <w:rPr>
          <w:rFonts w:hint="eastAsia" w:ascii="仿宋" w:hAnsi="仿宋" w:eastAsia="仿宋" w:cs="仿宋"/>
          <w:b w:val="0"/>
          <w:bCs w:val="0"/>
          <w:sz w:val="32"/>
          <w:szCs w:val="32"/>
          <w:highlight w:val="none"/>
          <w:lang w:val="en-US" w:eastAsia="zh-CN"/>
        </w:rPr>
        <w:t>到2025年，全县人均体育场地面积达到2.6平方米以上。加</w:t>
      </w:r>
      <w:r>
        <w:rPr>
          <w:rFonts w:hint="eastAsia" w:ascii="仿宋" w:hAnsi="仿宋" w:eastAsia="仿宋" w:cs="仿宋"/>
          <w:b w:val="0"/>
          <w:bCs w:val="0"/>
          <w:sz w:val="32"/>
          <w:szCs w:val="32"/>
          <w:lang w:val="en-US" w:eastAsia="zh-CN"/>
        </w:rPr>
        <w:t>大公共体育场地设施免费低收费开放力度，努力构建全县15分钟健身圈，普及科学健身知识和健身方法，推动全民健身生活化。健全完善运动健身休闲网络，鼓励举办各类全民健身运动会、体育比赛活动。实施青少年体育活动促进计划和体育技能普及提高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58" w:name="_Toc1459_WPSOffice_Level3"/>
      <w:r>
        <w:rPr>
          <w:rFonts w:hint="eastAsia" w:ascii="仿宋" w:hAnsi="仿宋" w:eastAsia="仿宋" w:cs="仿宋"/>
          <w:b/>
          <w:bCs/>
          <w:sz w:val="32"/>
          <w:szCs w:val="32"/>
          <w:lang w:val="en-US" w:eastAsia="zh-CN"/>
        </w:rPr>
        <w:t>4.加强伤害预防与干预</w:t>
      </w:r>
      <w:bookmarkEnd w:id="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实施儿童和老年人伤害预防和综合干预行动计划，加强儿童玩具和日常用品安全标准落实情况监管，减少儿童和老年人意外伤害的发生。开展学生意外伤害事故预防和处置、社会实践、防溺水等方面安全教育，加强管理完善重点场所的防护设施建设，预防和减少意外伤害。完善伤害综合监测评估体系，健全不同人群、年龄阶段重点伤害干预技术指南和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59" w:name="_Toc14337_WPSOffice_Level3"/>
      <w:r>
        <w:rPr>
          <w:rFonts w:hint="eastAsia" w:ascii="仿宋" w:hAnsi="仿宋" w:eastAsia="仿宋" w:cs="仿宋"/>
          <w:b/>
          <w:bCs/>
          <w:sz w:val="32"/>
          <w:szCs w:val="32"/>
          <w:lang w:val="en-US" w:eastAsia="zh-CN"/>
        </w:rPr>
        <w:t>5.加强健康促进与教育</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立健全健康教育体系，建立健全以健康教育专业机构及其管理的健康教育服务基础为核心，基层医疗卫生机构、医院、专业公共卫生机构健康教育职能部门为基础，学校、机关、社区、企事业单位健康教育职能部门为延伸，社会团体为辅助的工作体系。加强健康教育人员能力建设，完善人才培训、进修与晋升机制。推动构建与强大公共卫生体系相适应的健康教育人员薪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提升全民健康素养水平，加强完善健康科普专家库和资源库，加强科普人员队伍建设。加强医学科普知识宣传力度，构建全媒体健康科普知识发布和传播机制，加强对健康教育内容的指导和监管。推进基本公共卫生服务健康教育均等化，提供覆盖城乡居民的健康教育服务。推进“互联网+精准健康科普”，建立完善健康素养监测系统，普及健康教育信息化管理，提高健康素养监测评价能力；建设健康教育服务基地。加大学校健康教育与促进工作力度，将健康教育纳入国民教育体系，健全完善中小学学生体检和高校新生体检制度。推动学生健康体检标准化和信息化全覆盖，实现学生传染病症状监测和因病缺勤监测信息报告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60" w:name="_Toc16917_WPSOffice_Level3"/>
      <w:r>
        <w:rPr>
          <w:rFonts w:hint="eastAsia" w:ascii="仿宋" w:hAnsi="仿宋" w:eastAsia="仿宋" w:cs="仿宋"/>
          <w:b/>
          <w:bCs/>
          <w:sz w:val="32"/>
          <w:szCs w:val="32"/>
          <w:lang w:val="en-US" w:eastAsia="zh-CN"/>
        </w:rPr>
        <w:t>6.推进基本公共卫生服务</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家庭医生签约服务为抓手，推进基本医疗、基本公共卫生和健康管理三者融合工作，向居民及其家庭提供全生命周期健康管理，建立主动、连续、综合的健康责任制管理模式。有效落实基本公共卫生服务项目，提升公共卫生服务均等化水平，进一步完善绩效管理机制。不断提高基本公共卫生服务的可及性和便利性。按照确定的服务项目和服务标准，确保相关经费足额拨付到位，配齐相关服务人员，保障服务机构的有效运转。</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4" w:hRule="atLeast"/>
        </w:trPr>
        <w:tc>
          <w:tcPr>
            <w:tcW w:w="8522" w:type="dxa"/>
          </w:tcPr>
          <w:p>
            <w:pPr>
              <w:keepNext w:val="0"/>
              <w:keepLines w:val="0"/>
              <w:pageBreakBefore w:val="0"/>
              <w:widowControl w:val="0"/>
              <w:kinsoku/>
              <w:wordWrap/>
              <w:overflowPunct/>
              <w:topLinePunct w:val="0"/>
              <w:autoSpaceDE/>
              <w:autoSpaceDN/>
              <w:bidi w:val="0"/>
              <w:adjustRightInd/>
              <w:snapToGrid/>
              <w:spacing w:before="157" w:beforeLines="50" w:line="500" w:lineRule="exact"/>
              <w:ind w:right="0" w:right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【专栏4】健康促进项目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1.全民健身公共服务体系建设。</w:t>
            </w:r>
            <w:r>
              <w:rPr>
                <w:rFonts w:hint="eastAsia" w:ascii="楷体" w:hAnsi="楷体" w:eastAsia="楷体" w:cs="楷体"/>
                <w:b w:val="0"/>
                <w:bCs w:val="0"/>
                <w:sz w:val="24"/>
                <w:szCs w:val="24"/>
                <w:lang w:val="en-US" w:eastAsia="zh-CN"/>
              </w:rPr>
              <w:t>加快公共体育场馆建设和健身步道、骑行道、登山步道、体育公园、全民健身中心、社会足球场地、户外运动营地及公共服务设施等场地设施建设。</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2.健康教育基地建设工程。</w:t>
            </w:r>
            <w:r>
              <w:rPr>
                <w:rFonts w:hint="eastAsia" w:ascii="楷体" w:hAnsi="楷体" w:eastAsia="楷体" w:cs="楷体"/>
                <w:b w:val="0"/>
                <w:bCs w:val="0"/>
                <w:sz w:val="24"/>
                <w:szCs w:val="24"/>
                <w:lang w:val="en-US" w:eastAsia="zh-CN"/>
              </w:rPr>
              <w:t>加快在人流大地方建设健康体验馆，或建设健康科普基地。</w:t>
            </w:r>
          </w:p>
          <w:p>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vertAlign w:val="baseline"/>
                <w:lang w:val="en-US" w:eastAsia="zh-CN"/>
              </w:rPr>
            </w:pPr>
            <w:r>
              <w:rPr>
                <w:rFonts w:hint="eastAsia" w:ascii="楷体" w:hAnsi="楷体" w:eastAsia="楷体" w:cs="楷体"/>
                <w:b/>
                <w:bCs/>
                <w:sz w:val="24"/>
                <w:szCs w:val="24"/>
                <w:lang w:val="en-US" w:eastAsia="zh-CN"/>
              </w:rPr>
              <w:t>3.基本公共卫生服务项目提质增效。</w:t>
            </w:r>
            <w:r>
              <w:rPr>
                <w:rFonts w:hint="eastAsia" w:ascii="楷体" w:hAnsi="楷体" w:eastAsia="楷体" w:cs="楷体"/>
                <w:b w:val="0"/>
                <w:bCs w:val="0"/>
                <w:sz w:val="24"/>
                <w:szCs w:val="24"/>
                <w:lang w:val="en-US" w:eastAsia="zh-CN"/>
              </w:rPr>
              <w:t>为常住居民提供健康档案管理、健康教育、预防接种、0-6岁儿童健康管理、孕产妇健康管理、老年人健康管理、传染病与突发公共卫生事件报告和处理、慢性病患者健康管理（包括高血压患者健康管理、2型糖尿病患者健康管理）、中医药健康管理、肺结核患者健康管理、卫生计生监督协管和严重精神障碍疾病患者健康管理12类原基本公共卫生服务，做好健康素养促进行动、基本避孕服务、地方病防治、职业病防治、人禽流感和SARS防控项目、鼠疫防治项目、国家卫生应急队伍运维保障、农村妇女两癌免费检查、增补叶酸预防神经管缺陷、国家免费孕前优生健康检查、地中海贫血防控、食品安全标准跟踪评价、医养结合与失能老年人评估指导、卫生健康项目预算绩效管理等14类新划入基本公共卫生服务的衔接。</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default" w:asciiTheme="majorEastAsia" w:hAnsiTheme="majorEastAsia" w:eastAsiaTheme="majorEastAsia" w:cstheme="majorEastAsia"/>
          <w:b/>
          <w:bCs/>
          <w:sz w:val="32"/>
          <w:szCs w:val="32"/>
          <w:lang w:val="en-US" w:eastAsia="zh-CN"/>
        </w:rPr>
      </w:pPr>
      <w:bookmarkStart w:id="61" w:name="_Toc10155_WPSOffice_Level2"/>
      <w:r>
        <w:rPr>
          <w:rFonts w:hint="eastAsia" w:asciiTheme="majorEastAsia" w:hAnsiTheme="majorEastAsia" w:eastAsiaTheme="majorEastAsia" w:cstheme="majorEastAsia"/>
          <w:b/>
          <w:bCs/>
          <w:sz w:val="32"/>
          <w:szCs w:val="32"/>
          <w:lang w:val="en-US" w:eastAsia="zh-CN"/>
        </w:rPr>
        <w:t>（六）保障人民生命周期健康</w:t>
      </w:r>
      <w:bookmarkEnd w:id="6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62" w:name="_Toc4499_WPSOffice_Level3"/>
      <w:r>
        <w:rPr>
          <w:rFonts w:hint="eastAsia" w:ascii="仿宋" w:hAnsi="仿宋" w:eastAsia="仿宋" w:cs="仿宋"/>
          <w:b/>
          <w:bCs/>
          <w:sz w:val="32"/>
          <w:szCs w:val="32"/>
          <w:lang w:val="en-US" w:eastAsia="zh-CN"/>
        </w:rPr>
        <w:t>1.强化生育政策配套衔接</w:t>
      </w:r>
      <w:bookmarkEnd w:id="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政策宣传，充分运用各种新媒体宣传手段，加强中央《决定》和省新《条例》在内的三孩政策宣传解读，加强国情国策教育，引导社会各界正确认识新时代我省人口形势变化和优化生育政策的重大意义；提倡适龄婚育、优生优育，鼓励夫妻共担育儿责任，形成科学、文明、进步的婚育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政策培训，以“三孩政策宣传解读”为课题，举办计划生育政策法规培训班，县委党校培训班对各镇副科级以上干部以及村支部书记、村委主任进行计生政策培训，分片区对各级计生业务经办部门工作人员进行全覆盖培训，当好《条例》宣传员，确保三孩生育政策平稳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强化综合治理，县各有关部门要明确分工，各司其职，积极推动实施《饶平县促进3岁以下婴幼儿照护服务发展工作方案》，提升我县托育服务的供给能力和服务水平。要做好相关假期等配套保障，加大执行监督力度，确保各项惠民措施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做好生育服务，优化计生服务管理，规范生育登记办理程序，切实做到“便民、利民”。抓实抓好妇幼健康保障，全面落实好妊娠风险筛查与评估、高危孕产妇专案管理、出生缺陷防控等工作，不断提升优生优育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63" w:name="_Toc10201_WPSOffice_Level3"/>
      <w:r>
        <w:rPr>
          <w:rFonts w:hint="eastAsia" w:ascii="仿宋" w:hAnsi="仿宋" w:eastAsia="仿宋" w:cs="仿宋"/>
          <w:b/>
          <w:bCs/>
          <w:sz w:val="32"/>
          <w:szCs w:val="32"/>
          <w:lang w:val="en-US" w:eastAsia="zh-CN"/>
        </w:rPr>
        <w:t>2.发展普惠托育服务体系</w:t>
      </w:r>
      <w:bookmarkEnd w:id="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推进发展多种形式的婴幼儿照护服务机构。鼓励社会力量采取独资、合资、公办民营、民办公助等形式，针对家庭不同需求，提供多样化的婴幼儿照护服务。鼓励用人单位提供福利性婴幼儿照护服务。鼓励支持有条件的幼儿园利用现有资源或通过新建、改建、扩建等方式，开设托班招收2-3岁的幼儿，实行托幼一体化综合服务和管理。推进婴幼儿照护服务机构登记备案工作。加强对婴幼儿照护服务机构规范管理。加强对婴幼儿照护服务机构日常监督，促进托育行业健康发展。</w:t>
      </w:r>
      <w:r>
        <w:rPr>
          <w:rFonts w:hint="eastAsia" w:ascii="仿宋" w:hAnsi="仿宋" w:eastAsia="仿宋" w:cs="仿宋"/>
          <w:color w:val="auto"/>
          <w:sz w:val="32"/>
          <w:szCs w:val="32"/>
          <w:highlight w:val="none"/>
          <w:lang w:val="en-US" w:eastAsia="zh-CN"/>
        </w:rPr>
        <w:t>到2025年，全县每千人常住人口拥有3岁以下婴幼儿托位数1.85个，</w:t>
      </w:r>
      <w:r>
        <w:rPr>
          <w:rFonts w:hint="eastAsia" w:ascii="仿宋" w:hAnsi="仿宋" w:eastAsia="仿宋" w:cs="仿宋"/>
          <w:sz w:val="32"/>
          <w:szCs w:val="32"/>
          <w:highlight w:val="none"/>
          <w:lang w:val="en-US" w:eastAsia="zh-CN"/>
        </w:rPr>
        <w:t>至少建成1家以上具有带动效应、可承担一定指导功能的示范性婴幼儿照护服务机构。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64" w:name="_Toc11510_WPSOffice_Level3"/>
      <w:r>
        <w:rPr>
          <w:rFonts w:hint="eastAsia" w:ascii="仿宋" w:hAnsi="仿宋" w:eastAsia="仿宋" w:cs="仿宋"/>
          <w:b/>
          <w:bCs/>
          <w:sz w:val="32"/>
          <w:szCs w:val="32"/>
          <w:lang w:val="en-US" w:eastAsia="zh-CN"/>
        </w:rPr>
        <w:t>3.加强妇幼健康服务体系建设</w:t>
      </w:r>
      <w:bookmarkEnd w:id="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⑴实施妇幼健康保护工程，完善母婴安全保障体系，推进建设县级出生缺陷综合干预中心和发热门诊，提高孕产妇、新生儿医疗保健救治能力，妇幼重大传染病防控和妇幼突发公共卫生事件应急管理能力。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健全以妇幼保健机构为核心、以基层医疗卫生机构为基础、以大中型医院和教学科研机构为支撑的妇幼健康服务网络，提升妇幼健康服务供给能力和水平，实现妇幼基本公共卫生服务均等化。建立完善妇女全生命周期的健康管理模式。为青春期、育龄期、孕产期、更年期和老年期妇女提供全方位健康管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⑶完善基本医疗保险体系和社会医疗救助制度，提供生育全程基本医疗保健服务，将孕产妇健康管理纳入基本公共卫生服务范围，提高孕产妇系统管理率，加强对流动孕产妇和低收入孕产妇的管理和救助服务。逐步扩大城乡妇女“两癌”筛查项目覆盖面，全面预防艾滋病、乙肝、梅毒母婴传播，尽快实现消除艾滋病母婴传播的目标。建立覆盖城乡，涵盖孕前、孕期、新生儿各阶段的出生缺陷防治体系。广泛开展婚前健康检查、孕前优生健康检查、产前筛查、地中海贫血防控，完善出生缺陷三级防治项目。推动实施适龄女生 HPV（人乳头瘤病毒）疫苗免费接种项目。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⑷做好0-6岁儿童生长发育监测、眼保健和视力检查、心理行为发育评估与指导等健康管理。建立健全0-6岁儿童视力健康电子档案。改善妇女儿童营养状况，加强妇女儿童心理健康保健。强化母婴保健技术、人类辅助生殖技术的监督管理。针对学生近视、肥胖、脊柱弯曲异常等重点常见病，做好学生重点综合防控工作。开展儿童青少年近视防控适宜技术试点，推广有效近视防控干预措施和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65" w:name="_Toc830_WPSOffice_Level3"/>
      <w:r>
        <w:rPr>
          <w:rFonts w:hint="eastAsia" w:ascii="仿宋" w:hAnsi="仿宋" w:eastAsia="仿宋" w:cs="仿宋"/>
          <w:b/>
          <w:bCs/>
          <w:sz w:val="32"/>
          <w:szCs w:val="32"/>
          <w:lang w:val="en-US" w:eastAsia="zh-CN"/>
        </w:rPr>
        <w:t>4.加强职业健康保护</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职业健康统筹管理。充分发挥职业病防治联席会议机制作用，多部门协同研究解决职业病防治工作突出问题，依法落实部门防治职责。推动落实“五个一”，加快推进实施职业健康保护行动。强化职业病预防与治理，深化重点行业领域尘毒噪等危害专项治理。坚持目标导向和问题导向，加强隐患排查治理，坚决防范职业性化学中毒发生。加强职业病防治技术支撑体系建设，持续推动提升县职业病危害监测能力。持续加强职业健康检查工作管理。加强职业健康监管人员培训，强化法规业务素养，提升基层监管人员依法履职能力。加强网络舆情监测和预警，规范职业健康信访举报处理，有效防范化解职业病相关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66" w:name="_Toc22331_WPSOffice_Level3"/>
      <w:r>
        <w:rPr>
          <w:rFonts w:hint="eastAsia" w:ascii="仿宋" w:hAnsi="仿宋" w:eastAsia="仿宋" w:cs="仿宋"/>
          <w:b/>
          <w:bCs/>
          <w:sz w:val="32"/>
          <w:szCs w:val="32"/>
          <w:lang w:val="en-US" w:eastAsia="zh-CN"/>
        </w:rPr>
        <w:t>5.促进老年健康服务</w:t>
      </w:r>
      <w:bookmarkEnd w:id="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落实国家基本公共卫生服务项目，加强65岁及以上老年人健康管理和老年人中医药健康管理。建立完善提高医养结合质量政策措施，在养老机构内部设置卫生室，在医疗机构设立老年医学科。推动潮汕医院和中医医院开设老年医学科。提高基层卫生院康复、护理床位占比。开展老年友善医疗机构建设工作，推进医疗机构落实老年人医疗服务优待政策。实施老年健康服务体系，加强老年健康科学知识宣传教育，提高老年健康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县委、县政府立足医养结合模式，规划建设符合国家三星级以上标准的县颐养中心，建设集养老、医疗、康复、护理于一体的综合型医养结合社会化养老服务机构。项目建成后将能极大改善我县老年人医疗和养老环境，切实保障我县老年人实现“老有所养、老有所医”。推动饶平县新丰中心卫生院（老院区）医养结合护理型床位改造建设项目，依托县第二人民医院的医护技术力量，提供专业的医疗护理服务，使我县北部苏区群众能享受优质的医养结合服务。推动潮汕医院、基层卫生院护理型床位建设，为医养结合、慢病管理打好基础。完善普惠型养老服务体系。加快构建多层次养老保障体系，推动养老事业和养老产业协同发展，积极应对人口老龄化。通过新建、改建、扩建，对公办养老服务机构扩大规模、增加设施等，重点解决城镇“三无”老人和农村“五保”老人、失能半失能老人、重点优抚高龄老人等养老服务，同时面向社会其他老人提供养老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67" w:name="_Toc23562_WPSOffice_Level3"/>
      <w:r>
        <w:rPr>
          <w:rFonts w:hint="eastAsia" w:ascii="仿宋" w:hAnsi="仿宋" w:eastAsia="仿宋" w:cs="仿宋"/>
          <w:b/>
          <w:bCs/>
          <w:sz w:val="32"/>
          <w:szCs w:val="32"/>
          <w:lang w:val="en-US" w:eastAsia="zh-CN"/>
        </w:rPr>
        <w:t>6.促进残疾人健康</w:t>
      </w:r>
      <w:bookmarkEnd w:id="6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推动将残疾人健康管理纳入基本公共卫生服务体系，推进残疾人家庭医生签约履约服务。促进残疾人社区康复，支持残疾人主动康复、互助康复。加强残疾人辅助器具适配服务，支持医疗、康复机构开展辅助器具适配服务。</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trPr>
        <w:tc>
          <w:tcPr>
            <w:tcW w:w="8522" w:type="dxa"/>
          </w:tcPr>
          <w:p>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32"/>
                <w:szCs w:val="32"/>
                <w:lang w:val="en-US" w:eastAsia="zh-CN"/>
              </w:rPr>
              <w:t>【专栏5】生命全周期健康保障项目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1.托育服务增量提质工程。</w:t>
            </w:r>
            <w:r>
              <w:rPr>
                <w:rFonts w:hint="eastAsia" w:ascii="楷体" w:hAnsi="楷体" w:eastAsia="楷体" w:cs="楷体"/>
                <w:b w:val="0"/>
                <w:bCs w:val="0"/>
                <w:sz w:val="24"/>
                <w:szCs w:val="24"/>
                <w:lang w:val="en-US" w:eastAsia="zh-CN"/>
              </w:rPr>
              <w:t>推进发展多种形式的婴幼儿照护服务机构。鼓励社会力量采取独资、合资、公办民营、民办公助等形式，针对家庭不同需求，提供多样化的婴幼儿照护服务，大力发展普惠性婴幼儿照护服务。推动在居住区建设与人口规模相适应的婴幼儿照护服务设施。</w:t>
            </w:r>
            <w:r>
              <w:rPr>
                <w:rFonts w:hint="eastAsia" w:ascii="楷体" w:hAnsi="楷体" w:eastAsia="楷体" w:cs="楷体"/>
                <w:b w:val="0"/>
                <w:bCs w:val="0"/>
                <w:color w:val="auto"/>
                <w:sz w:val="24"/>
                <w:szCs w:val="24"/>
                <w:lang w:val="en-US" w:eastAsia="zh-CN"/>
              </w:rPr>
              <w:t>到2025年，每千人常住人口3岁以下婴幼儿托位数不少于1.85个。</w:t>
            </w:r>
            <w:r>
              <w:rPr>
                <w:rFonts w:hint="eastAsia" w:ascii="楷体" w:hAnsi="楷体" w:eastAsia="楷体" w:cs="楷体"/>
                <w:b w:val="0"/>
                <w:bCs w:val="0"/>
                <w:sz w:val="24"/>
                <w:szCs w:val="24"/>
                <w:lang w:val="en-US" w:eastAsia="zh-CN"/>
              </w:rPr>
              <w:t>全县至少建成1家具有带动效应、承担一定指导功能的示范性婴幼儿照护服务机构。</w:t>
            </w:r>
          </w:p>
          <w:p>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vertAlign w:val="baseline"/>
                <w:lang w:val="en-US" w:eastAsia="zh-CN"/>
              </w:rPr>
            </w:pPr>
            <w:r>
              <w:rPr>
                <w:rFonts w:hint="eastAsia" w:ascii="楷体" w:hAnsi="楷体" w:eastAsia="楷体" w:cs="楷体"/>
                <w:b/>
                <w:bCs/>
                <w:sz w:val="24"/>
                <w:szCs w:val="24"/>
                <w:lang w:val="en-US" w:eastAsia="zh-CN"/>
              </w:rPr>
              <w:t>2.妇幼健康保护工程。</w:t>
            </w:r>
            <w:r>
              <w:rPr>
                <w:rFonts w:hint="eastAsia" w:ascii="楷体" w:hAnsi="楷体" w:eastAsia="楷体" w:cs="楷体"/>
                <w:b w:val="0"/>
                <w:bCs w:val="0"/>
                <w:sz w:val="24"/>
                <w:szCs w:val="24"/>
                <w:lang w:val="en-US" w:eastAsia="zh-CN"/>
              </w:rPr>
              <w:t>实施消除艾滋病、梅毒和乙肝母婴传播项目，达到国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bCs/>
                <w:sz w:val="24"/>
                <w:szCs w:val="24"/>
                <w:lang w:val="en-US" w:eastAsia="zh-CN"/>
              </w:rPr>
            </w:pPr>
            <w:r>
              <w:rPr>
                <w:rFonts w:hint="eastAsia" w:ascii="楷体" w:hAnsi="楷体" w:eastAsia="楷体" w:cs="楷体"/>
                <w:b w:val="0"/>
                <w:bCs w:val="0"/>
                <w:sz w:val="24"/>
                <w:szCs w:val="24"/>
                <w:lang w:val="en-US" w:eastAsia="zh-CN"/>
              </w:rPr>
              <w:t>家消除项目各项指标要求。继续实施广东省城乡妇女宫颈癌、乳腺癌“两癌”免费检查项目，为全县35-64岁妇女提供免费“两癌”检查，实施出生缺陷综合防控项目，为群众提供出生缺陷全程综合防控服务。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3.职业健康保护能力提升工程。</w:t>
            </w:r>
            <w:r>
              <w:rPr>
                <w:rFonts w:hint="eastAsia" w:ascii="楷体" w:hAnsi="楷体" w:eastAsia="楷体" w:cs="楷体"/>
                <w:b w:val="0"/>
                <w:bCs w:val="0"/>
                <w:sz w:val="24"/>
                <w:szCs w:val="24"/>
                <w:lang w:val="en-US" w:eastAsia="zh-CN"/>
              </w:rPr>
              <w:t>配合潮州市疾控中心，建设辐射我县的职业病监测预警体系，改善我县职业病监测条件，提升职业病监测预警能力和水平。</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4.积极应对人口老龄化项目。</w:t>
            </w:r>
            <w:r>
              <w:rPr>
                <w:rFonts w:hint="eastAsia" w:ascii="楷体" w:hAnsi="楷体" w:eastAsia="楷体" w:cs="楷体"/>
                <w:b w:val="0"/>
                <w:bCs w:val="0"/>
                <w:sz w:val="24"/>
                <w:szCs w:val="24"/>
                <w:lang w:val="en-US" w:eastAsia="zh-CN"/>
              </w:rPr>
              <w:t>实施老年健康服务保障工程，开展老年友善医疗机构创建工作，推动医疗机构全面落实老年人医疗服务优待政策，优化老年人就医流程，开展适老化改造，提供老年友善服务，促进老年友好型社会建设。</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b w:val="0"/>
                <w:bCs w:val="0"/>
                <w:vertAlign w:val="baseline"/>
                <w:lang w:val="en-US" w:eastAsia="zh-CN"/>
              </w:rPr>
            </w:pPr>
            <w:r>
              <w:rPr>
                <w:rFonts w:hint="eastAsia" w:ascii="楷体" w:hAnsi="楷体" w:eastAsia="楷体" w:cs="楷体"/>
                <w:b/>
                <w:bCs/>
                <w:sz w:val="24"/>
                <w:szCs w:val="24"/>
                <w:lang w:val="en-US" w:eastAsia="zh-CN"/>
              </w:rPr>
              <w:t>5.提高残疾人康复服务质量。</w:t>
            </w:r>
            <w:r>
              <w:rPr>
                <w:rFonts w:hint="eastAsia" w:ascii="楷体" w:hAnsi="楷体" w:eastAsia="楷体" w:cs="楷体"/>
                <w:b w:val="0"/>
                <w:bCs w:val="0"/>
                <w:sz w:val="24"/>
                <w:szCs w:val="24"/>
                <w:lang w:val="en-US" w:eastAsia="zh-CN"/>
              </w:rPr>
              <w:t>开展残疾人精准康复服务行动，落实残疾人辅助器具适配补贴制度。实施0-17岁残疾儿童康复救助制度，实现残疾儿童康复救助应救尽救。落实并优化残疾人家庭医生签约相关服务规范，深化残疾人家庭医生签约服务。</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68" w:name="_Toc23562_WPSOffice_Level2"/>
      <w:r>
        <w:rPr>
          <w:rFonts w:hint="eastAsia" w:asciiTheme="majorEastAsia" w:hAnsiTheme="majorEastAsia" w:eastAsiaTheme="majorEastAsia" w:cstheme="majorEastAsia"/>
          <w:b/>
          <w:bCs/>
          <w:sz w:val="32"/>
          <w:szCs w:val="32"/>
          <w:lang w:val="en-US" w:eastAsia="zh-CN"/>
        </w:rPr>
        <w:t>（七）促进中医药传承创新发展</w:t>
      </w:r>
      <w:bookmarkEnd w:id="6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69" w:name="_Toc13008_WPSOffice_Level3"/>
      <w:r>
        <w:rPr>
          <w:rFonts w:hint="eastAsia" w:ascii="仿宋" w:hAnsi="仿宋" w:eastAsia="仿宋" w:cs="仿宋"/>
          <w:b/>
          <w:bCs/>
          <w:sz w:val="32"/>
          <w:szCs w:val="32"/>
          <w:lang w:val="en-US" w:eastAsia="zh-CN"/>
        </w:rPr>
        <w:t>1.建设优质高效中医药服务体系</w:t>
      </w:r>
      <w:bookmarkEnd w:id="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构建高质量发展的中医药服务体系。充分发挥中医药特色和优势，提升中医预防、诊疗和康复服务能力，发挥中医药在疫病防治中的独特优势。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70" w:name="_Toc10914_WPSOffice_Level3"/>
      <w:r>
        <w:rPr>
          <w:rFonts w:hint="eastAsia" w:ascii="仿宋" w:hAnsi="仿宋" w:eastAsia="仿宋" w:cs="仿宋"/>
          <w:b/>
          <w:bCs/>
          <w:sz w:val="32"/>
          <w:szCs w:val="32"/>
          <w:lang w:val="en-US" w:eastAsia="zh-CN"/>
        </w:rPr>
        <w:t>2.促进中医药传承创新发展</w:t>
      </w:r>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中医医院继续推进中医药适宜技术推广省级基地和县级基地的建设，进一步健全和完善“全国基层名老中医药郑文少传承工作室”，加大弘扬传播中医药文华，多渠道开展中医药师承教育等工作。开展中医药文化科普宣传，落实各基层卫生院、各村站培养、指定适宜技术推广员各1名，负责本区域内和本机构内适宜技术推广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71" w:name="_Toc5550_WPSOffice_Level3"/>
      <w:r>
        <w:rPr>
          <w:rFonts w:hint="eastAsia" w:ascii="仿宋" w:hAnsi="仿宋" w:eastAsia="仿宋" w:cs="仿宋"/>
          <w:b/>
          <w:bCs/>
          <w:sz w:val="32"/>
          <w:szCs w:val="32"/>
          <w:lang w:val="en-US" w:eastAsia="zh-CN"/>
        </w:rPr>
        <w:t>3.提升基层中医药服务能力</w:t>
      </w:r>
      <w:bookmarkEnd w:id="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lang w:val="en-US" w:eastAsia="zh-CN"/>
        </w:rPr>
        <w:t>开展基层中医药服务能力提升“十四五”行动计划，持续提升基层中医药服务能力。乡镇卫生院中医类别执业医师数达到不低于执业医师总数的30%。</w:t>
      </w:r>
      <w:r>
        <w:rPr>
          <w:rFonts w:hint="eastAsia" w:ascii="仿宋" w:hAnsi="仿宋" w:eastAsia="仿宋" w:cs="仿宋"/>
          <w:color w:val="000000" w:themeColor="text1"/>
          <w:sz w:val="32"/>
          <w:szCs w:val="32"/>
          <w:highlight w:val="none"/>
          <w:lang w:val="en-US" w:eastAsia="zh-CN"/>
          <w14:textFill>
            <w14:solidFill>
              <w14:schemeClr w14:val="tx1"/>
            </w14:solidFill>
          </w14:textFill>
        </w:rPr>
        <w:t>鼓励高水平中医专家在基层中医医疗卫生机构建设名医工作室。</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6" w:hRule="atLeast"/>
        </w:trPr>
        <w:tc>
          <w:tcPr>
            <w:tcW w:w="8522" w:type="dxa"/>
          </w:tcPr>
          <w:p>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【专栏6】促进中医药传承创新发展项目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kern w:val="2"/>
                <w:sz w:val="24"/>
                <w:szCs w:val="24"/>
                <w:lang w:val="en-US" w:eastAsia="zh-CN" w:bidi="ar-SA"/>
              </w:rPr>
              <w:t>1.加强</w:t>
            </w:r>
            <w:r>
              <w:rPr>
                <w:rFonts w:hint="eastAsia" w:ascii="楷体" w:hAnsi="楷体" w:eastAsia="楷体" w:cs="楷体"/>
                <w:b/>
                <w:bCs/>
                <w:sz w:val="24"/>
                <w:szCs w:val="24"/>
                <w:lang w:val="en-US" w:eastAsia="zh-CN"/>
              </w:rPr>
              <w:t>中医药</w:t>
            </w:r>
            <w:r>
              <w:rPr>
                <w:rFonts w:hint="eastAsia" w:ascii="楷体" w:hAnsi="楷体" w:eastAsia="楷体" w:cs="楷体"/>
                <w:b/>
                <w:bCs/>
                <w:kern w:val="2"/>
                <w:sz w:val="24"/>
                <w:szCs w:val="24"/>
                <w:lang w:val="en-US" w:eastAsia="zh-CN" w:bidi="ar-SA"/>
              </w:rPr>
              <w:t>服务体系建设。</w:t>
            </w:r>
            <w:r>
              <w:rPr>
                <w:rFonts w:hint="eastAsia" w:ascii="楷体" w:hAnsi="楷体" w:eastAsia="楷体" w:cs="楷体"/>
                <w:b w:val="0"/>
                <w:bCs w:val="0"/>
                <w:kern w:val="2"/>
                <w:sz w:val="24"/>
                <w:szCs w:val="24"/>
                <w:lang w:val="en-US" w:eastAsia="zh-CN" w:bidi="ar-SA"/>
              </w:rPr>
              <w:t>建成贯通县、镇、村三级的中医药健康服务体系。鼓励县中医医院加强中医专科建设，打造“名院、名科、名医”的“三名”</w:t>
            </w:r>
            <w:r>
              <w:rPr>
                <w:rFonts w:hint="eastAsia" w:ascii="楷体" w:hAnsi="楷体" w:eastAsia="楷体" w:cs="楷体"/>
                <w:b w:val="0"/>
                <w:bCs w:val="0"/>
                <w:sz w:val="24"/>
                <w:szCs w:val="24"/>
                <w:lang w:val="en-US" w:eastAsia="zh-CN"/>
              </w:rPr>
              <w:t>工程，通过设立专项资金的形式，加强中医药传承创新工作和中医专科专病建设。发挥中医药在治未病中的主导作用，开展治未病循证研究，构建中医治未病预防保健新模式，建立健全中医治未病预防保健服务体系。推动县中医医院开设老年医学科，提供老年健康服务。鼓励社会力量举办中医养生养老机构。</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2.实施中医人才培育项目。</w:t>
            </w:r>
            <w:r>
              <w:rPr>
                <w:rFonts w:hint="eastAsia" w:ascii="楷体" w:hAnsi="楷体" w:eastAsia="楷体" w:cs="楷体"/>
                <w:b w:val="0"/>
                <w:bCs w:val="0"/>
                <w:sz w:val="24"/>
                <w:szCs w:val="24"/>
                <w:lang w:val="en-US" w:eastAsia="zh-CN"/>
              </w:rPr>
              <w:t>进一步健全和完善中医药人才培养体系，培育一支梯次结构合理、学术思想活跃、善于传承创新的中医药领军人才和临床骨干人才队伍。落实农村订单定向免费培养中医专业学生工作，做好履约管理。继续开展传统医学师承和确有专长人员医师资格考核考试。建成院校教育、毕业后教育、继续教育三阶段有机衔接、师承教育贯穿始终的中医药人才终身教育体系。推进中医药重点学科建设。优先发展基层中医药人才，加强以中医类别全科医生培养为主的基层中医药人才队伍建设，建设基层名老中医药专家传承工作平台，鼓励名中医师在基层中医医疗卫生机构建设名医工作室。加强对中医药高端人才和团队的培养与引进，稳步推进中医药适宜技术的视频推广教学，提升服务能力。完善中医药人才评价机制，建立吸引、稳定中医药人才的保障和长效激励机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vertAlign w:val="baseline"/>
                <w:lang w:val="en-US" w:eastAsia="zh-CN"/>
              </w:rPr>
            </w:pPr>
            <w:r>
              <w:rPr>
                <w:rFonts w:hint="eastAsia" w:ascii="楷体" w:hAnsi="楷体" w:eastAsia="楷体" w:cs="楷体"/>
                <w:b/>
                <w:bCs/>
                <w:sz w:val="24"/>
                <w:szCs w:val="24"/>
                <w:lang w:val="en-US" w:eastAsia="zh-CN"/>
              </w:rPr>
              <w:t>3.弘扬中医药文化项目。</w:t>
            </w:r>
            <w:r>
              <w:rPr>
                <w:rFonts w:hint="eastAsia" w:ascii="楷体" w:hAnsi="楷体" w:eastAsia="楷体" w:cs="楷体"/>
                <w:b w:val="0"/>
                <w:bCs w:val="0"/>
                <w:sz w:val="24"/>
                <w:szCs w:val="24"/>
                <w:lang w:val="en-US" w:eastAsia="zh-CN"/>
              </w:rPr>
              <w:t>开展“中医中药中国行”等文化活动，促进居民了解掌握基本中医药健康知识。加强中医药文化作品创作推广，加强中医药非物质文化遗产的保护传承，推动中医药健康文化普及，传播中医养生保健知识。积极宣传适宜老年人的中医养生保健方法，为老年人提供更多中医养生保健、疾病防治等健康指导。促进患有慢性病的老年人学习并运用老年人中医饮食调养，改善生活质量。</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72" w:name="_Toc13008_WPSOffice_Level2"/>
      <w:r>
        <w:rPr>
          <w:rFonts w:hint="eastAsia" w:asciiTheme="majorEastAsia" w:hAnsiTheme="majorEastAsia" w:eastAsiaTheme="majorEastAsia" w:cstheme="majorEastAsia"/>
          <w:b/>
          <w:bCs/>
          <w:sz w:val="32"/>
          <w:szCs w:val="32"/>
          <w:lang w:val="en-US" w:eastAsia="zh-CN"/>
        </w:rPr>
        <w:t>（八）大力发展健康产业</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73" w:name="_Toc18487_WPSOffice_Level3"/>
      <w:r>
        <w:rPr>
          <w:rFonts w:hint="eastAsia" w:ascii="仿宋" w:hAnsi="仿宋" w:eastAsia="仿宋" w:cs="仿宋"/>
          <w:b/>
          <w:bCs/>
          <w:sz w:val="32"/>
          <w:szCs w:val="32"/>
          <w:lang w:val="en-US" w:eastAsia="zh-CN"/>
        </w:rPr>
        <w:t>1.鼓励社会办医</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进一步优化政策环境，优化多元办医格局。加大政府支持力度，鼓励社会力量举办非营利性医疗机构，特别是在医疗资源薄弱区域和中医、康复、护理、精神卫生等短缺专科领域。破除跨部门审批壁垒，降低社会力量举办医疗机构的制度性成本，营造公平、规范、便利的发展环境。加强监管、行业自律与社会监督，促进各类医疗机构严格自律、诚信服务、规范发展。加强对社会办医的医疗质量监管，并将其纳入统一质控体系。支持和规范社会办医疗机构与公立医院开展多种类型的医疗业务、学科建设、人才培养等合作。发挥社会办医在应对重大疫情中的作用，依法统筹纳入疫情防控和医疗救治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74" w:name="_Toc21509_WPSOffice_Level3"/>
      <w:r>
        <w:rPr>
          <w:rFonts w:hint="eastAsia" w:ascii="仿宋" w:hAnsi="仿宋" w:eastAsia="仿宋" w:cs="仿宋"/>
          <w:b/>
          <w:bCs/>
          <w:sz w:val="32"/>
          <w:szCs w:val="32"/>
          <w:lang w:val="en-US" w:eastAsia="zh-CN"/>
        </w:rPr>
        <w:t>2.深入推进医养融合发展</w:t>
      </w:r>
      <w:bookmarkEnd w:id="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TW" w:eastAsia="zh-TW"/>
        </w:rPr>
        <w:t>建立健全居家社区机构</w:t>
      </w:r>
      <w:r>
        <w:rPr>
          <w:rFonts w:hint="eastAsia" w:ascii="仿宋" w:hAnsi="仿宋" w:eastAsia="仿宋" w:cs="仿宋"/>
          <w:sz w:val="32"/>
          <w:szCs w:val="32"/>
        </w:rPr>
        <w:t>相协调、医养康养相结合的健康养老服务体系。增加医养康养结合服务供给，合理规划、建设和改造医养结合机构，鼓励社会力量举办医养结合机构，将医养结合机构内设的符合条件的医疗机构纳入基本医疗保险定点范围。促进医疗资源与养老资源深度融合，推动医疗卫生机构开展医养结合服务，支持养老机构提供医疗卫生服务，鼓励养老机构与周边的医疗卫生机构开展多种形式的签约合作。实施</w:t>
      </w:r>
      <w:r>
        <w:rPr>
          <w:rFonts w:hint="eastAsia" w:ascii="仿宋" w:hAnsi="仿宋" w:eastAsia="仿宋" w:cs="仿宋"/>
          <w:sz w:val="32"/>
          <w:szCs w:val="32"/>
          <w:lang w:val="en-US" w:eastAsia="zh-CN"/>
        </w:rPr>
        <w:t>乡</w:t>
      </w:r>
      <w:r>
        <w:rPr>
          <w:rFonts w:hint="eastAsia" w:ascii="仿宋" w:hAnsi="仿宋" w:eastAsia="仿宋" w:cs="仿宋"/>
          <w:sz w:val="32"/>
          <w:szCs w:val="32"/>
        </w:rPr>
        <w:t>镇医养结合能力提升工程，加强医养结合信息化支撑。发挥中医药健康养老服务作用。实施医养结合机构服务质量提升工程</w:t>
      </w:r>
      <w:bookmarkStart w:id="75" w:name="bookmark115"/>
      <w:bookmarkEnd w:id="75"/>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76" w:name="_Toc2830_WPSOffice_Level3"/>
      <w:r>
        <w:rPr>
          <w:rFonts w:hint="eastAsia" w:ascii="仿宋" w:hAnsi="仿宋" w:eastAsia="仿宋" w:cs="仿宋"/>
          <w:b/>
          <w:bCs/>
          <w:sz w:val="32"/>
          <w:szCs w:val="32"/>
          <w:lang w:val="en-US" w:eastAsia="zh-CN"/>
        </w:rPr>
        <w:t>3.积极发展多样化健康服务</w:t>
      </w:r>
      <w:bookmarkEnd w:id="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挥市场机制作用，扩大健康服务供给，创新服务模式。积极打造地方健康服务业品牌，大力发展体检、心理咨询、母婴照料、健康咨询、家庭医生等健康服务形式，提供人性化的健康服务。整合当地优势医疗资源、中医药等特色养生保健资源、绿色生态旅游资源，发展养生、健身休闲运动产业和医疗健康旅游等产业，建设推广以医疗保健养生、中医药文化传播为主题的医疗旅游示范产品。探索发展智慧健康产业，大力发展基于互联网的健康服务，促进健康与养老、旅游、互联网、健身休闲、食品融合，催生健康新产业、新业态、新模式。</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default" w:asciiTheme="majorEastAsia" w:hAnsiTheme="majorEastAsia" w:eastAsiaTheme="majorEastAsia" w:cstheme="majorEastAsia"/>
          <w:b/>
          <w:bCs/>
          <w:sz w:val="32"/>
          <w:szCs w:val="32"/>
          <w:lang w:val="en-US" w:eastAsia="zh-CN"/>
        </w:rPr>
      </w:pPr>
      <w:bookmarkStart w:id="77" w:name="_Toc10914_WPSOffice_Level2"/>
      <w:r>
        <w:rPr>
          <w:rFonts w:hint="eastAsia" w:asciiTheme="majorEastAsia" w:hAnsiTheme="majorEastAsia" w:eastAsiaTheme="majorEastAsia" w:cstheme="majorEastAsia"/>
          <w:b/>
          <w:bCs/>
          <w:sz w:val="32"/>
          <w:szCs w:val="32"/>
          <w:lang w:val="en-US" w:eastAsia="zh-CN"/>
        </w:rPr>
        <w:t>（九）完善卫生健康发展保障体系</w:t>
      </w:r>
      <w:bookmarkEnd w:id="7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78" w:name="_Toc18567_WPSOffice_Level3"/>
      <w:r>
        <w:rPr>
          <w:rFonts w:hint="eastAsia" w:ascii="仿宋" w:hAnsi="仿宋" w:eastAsia="仿宋" w:cs="仿宋"/>
          <w:b/>
          <w:bCs/>
          <w:sz w:val="32"/>
          <w:szCs w:val="32"/>
          <w:lang w:val="en-US" w:eastAsia="zh-CN"/>
        </w:rPr>
        <w:t>1.加强卫生健康人才队伍建设</w:t>
      </w:r>
      <w:bookmarkEnd w:id="7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大人才引进培养力度。积极通过省、市、县事业单位统一公开招聘、直接考核公开招聘、参加医学类人才高校招聘会等多渠道招聘医学类人才。通过全科医生规范化培训、在岗医师转岗培训、农村订单定向培养、提升基层在岗医师学历层次等渠道，加强基层医疗卫生人才队伍建设。推动中医人才培养和引进计划，多方面、多层次培养和引进中医药人才。强化流行病学调查、实验室检验检测、卫生监督执法人才培训培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79" w:name="_Toc21133_WPSOffice_Level3"/>
      <w:r>
        <w:rPr>
          <w:rFonts w:hint="eastAsia" w:ascii="仿宋" w:hAnsi="仿宋" w:eastAsia="仿宋" w:cs="仿宋"/>
          <w:b/>
          <w:bCs/>
          <w:sz w:val="32"/>
          <w:szCs w:val="32"/>
          <w:lang w:val="en-US" w:eastAsia="zh-CN"/>
        </w:rPr>
        <w:t>2.大力实施智慧健康行动</w:t>
      </w:r>
      <w:bookmarkEnd w:id="7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推进“智慧医疗”建设。充分利用“互联网+医疗”信息化手段，逐步建立分级诊疗信息平台，实现公立医院与基层医疗卫生机构之间信息共享、服务协同；推进远程医疗会诊系统建设，促进优质医疗资源纵向流动，实现县级优质资源与基层卫生院的互补共享。加强重大疫情的早期监测预警能力建设，提升县域医疗系统信息化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二级以上公立医院开展以数据为核心的智慧医院建设，发展智慧服务、智慧临床、智慧管理。建立救护车与院前急救系统的信息联接，更加快速高效开展急救。加快医疗健康数据安全体系建设，落实数据安全管理责任制，推行落实网络安全等级保护制度，提升网络安全防护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80" w:name="_Toc28311_WPSOffice_Level3"/>
      <w:r>
        <w:rPr>
          <w:rFonts w:hint="eastAsia" w:ascii="仿宋" w:hAnsi="仿宋" w:eastAsia="仿宋" w:cs="仿宋"/>
          <w:b/>
          <w:bCs/>
          <w:sz w:val="32"/>
          <w:szCs w:val="32"/>
          <w:lang w:val="en-US" w:eastAsia="zh-CN"/>
        </w:rPr>
        <w:t>3.加强卫生健康法治建设</w:t>
      </w:r>
      <w:bookmarkEnd w:id="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健全完善医患纠纷处置长效机制。依法打击“医闹”等涉医违法犯罪行为，构建和谐医患关系。致力打造与县域经济发展相匹配的医疗卫生服务体系，着力构建“大卫生、大健康”医疗卫生服务新格局。继续深化“放管服”改革和政府职能转变工作,依法推进政务公开。加强卫生健康法治宣传，提高医务人员和群众卫生健康法治意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trPr>
        <w:tc>
          <w:tcPr>
            <w:tcW w:w="8522"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楷体" w:hAnsi="楷体" w:eastAsia="楷体" w:cs="楷体"/>
                <w:b/>
                <w:bCs/>
                <w:sz w:val="32"/>
                <w:szCs w:val="32"/>
                <w:lang w:val="en-US" w:eastAsia="zh-CN"/>
              </w:rPr>
            </w:pPr>
            <w:bookmarkStart w:id="81" w:name="OLE_LINK1"/>
            <w:r>
              <w:rPr>
                <w:rFonts w:hint="eastAsia" w:ascii="楷体" w:hAnsi="楷体" w:eastAsia="楷体" w:cs="楷体"/>
                <w:b/>
                <w:bCs/>
                <w:sz w:val="32"/>
                <w:szCs w:val="32"/>
                <w:lang w:val="en-US" w:eastAsia="zh-CN"/>
              </w:rPr>
              <w:t>【专栏7】卫生健康发展保障体系项目</w:t>
            </w:r>
          </w:p>
          <w:bookmarkEnd w:id="81"/>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1.实施人才能力提升工程。</w:t>
            </w:r>
            <w:r>
              <w:rPr>
                <w:rFonts w:hint="eastAsia" w:ascii="楷体" w:hAnsi="楷体" w:eastAsia="楷体" w:cs="楷体"/>
                <w:b w:val="0"/>
                <w:bCs w:val="0"/>
                <w:sz w:val="24"/>
                <w:szCs w:val="24"/>
                <w:lang w:val="en-US" w:eastAsia="zh-CN"/>
              </w:rPr>
              <w:t>根据省的安排，实施“首席专家下基层”项目，每年选聘2名首席专家到基层全职工作。提升基层医疗卫生机构全科服务理念和健康管理水平。</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2.数字健康工程。</w:t>
            </w:r>
            <w:r>
              <w:rPr>
                <w:rFonts w:hint="eastAsia" w:ascii="楷体" w:hAnsi="楷体" w:eastAsia="楷体" w:cs="楷体"/>
                <w:b w:val="0"/>
                <w:bCs w:val="0"/>
                <w:sz w:val="24"/>
                <w:szCs w:val="24"/>
                <w:lang w:val="en-US" w:eastAsia="zh-CN"/>
              </w:rPr>
              <w:t>建设县级全民健康信息平台，依托市级全民健康信息平台，全面上线使用居民电子健康码。增强数字健康发展能力，在二级以上医院普遍开展以数据为核心的智慧医院建设。继续推进互联网医院建设。建设智慧公卫工程，配合推进智慧化多点触发预警信息系统建设，建设完善公卫综合监测项目，提高公共卫生早期预警能力，改善公共卫生服务数字化、智能化水平。</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3.实施“千项适宜技术下基层”工程。</w:t>
            </w:r>
            <w:r>
              <w:rPr>
                <w:rFonts w:hint="eastAsia" w:ascii="楷体" w:hAnsi="楷体" w:eastAsia="楷体" w:cs="楷体"/>
                <w:b w:val="0"/>
                <w:bCs w:val="0"/>
                <w:sz w:val="24"/>
                <w:szCs w:val="24"/>
                <w:lang w:val="en-US" w:eastAsia="zh-CN"/>
              </w:rPr>
              <w:t>遴选适合基层医疗卫生机构使用的卫生技术并加以推广。紧扣基层医疗卫生机构服务需求和发展需要，以推广基层常见病、慢性病、急重症技术为重点，建立健全卫生健康适宜技术筛选指标体系，确保卫生健康适宜技术“学得会、用得上、有效果、可持续”。</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vertAlign w:val="baseline"/>
                <w:lang w:val="en-US" w:eastAsia="zh-CN"/>
              </w:rPr>
            </w:pPr>
            <w:r>
              <w:rPr>
                <w:rFonts w:hint="eastAsia" w:ascii="楷体" w:hAnsi="楷体" w:eastAsia="楷体" w:cs="楷体"/>
                <w:b/>
                <w:bCs/>
                <w:sz w:val="24"/>
                <w:szCs w:val="24"/>
                <w:lang w:val="en-US" w:eastAsia="zh-CN"/>
              </w:rPr>
              <w:t>4.医养结合服务能力提升工程。</w:t>
            </w:r>
            <w:r>
              <w:rPr>
                <w:rFonts w:hint="eastAsia" w:ascii="楷体" w:hAnsi="楷体" w:eastAsia="楷体" w:cs="楷体"/>
                <w:b w:val="0"/>
                <w:bCs w:val="0"/>
                <w:sz w:val="24"/>
                <w:szCs w:val="24"/>
                <w:lang w:val="en-US" w:eastAsia="zh-CN"/>
              </w:rPr>
              <w:t>全县至少建有1家医养结合机构。全县普遍建立养老机构与医疗机构预约就诊、双向转诊等合作机制，到2025年，养老机构与医疗机构签约合作率达到100%。</w:t>
            </w:r>
          </w:p>
        </w:tc>
      </w:tr>
    </w:tbl>
    <w:p>
      <w:pPr>
        <w:pStyle w:val="5"/>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line="560" w:lineRule="exact"/>
        <w:ind w:leftChars="0" w:firstLine="643" w:firstLineChars="200"/>
        <w:textAlignment w:val="auto"/>
        <w:rPr>
          <w:rFonts w:hint="default"/>
          <w:sz w:val="32"/>
          <w:szCs w:val="32"/>
          <w:lang w:val="en-US" w:eastAsia="zh-CN"/>
        </w:rPr>
      </w:pPr>
      <w:bookmarkStart w:id="82" w:name="_Toc23562_WPSOffice_Level1"/>
      <w:r>
        <w:rPr>
          <w:rFonts w:hint="eastAsia"/>
          <w:sz w:val="32"/>
          <w:szCs w:val="32"/>
          <w:lang w:val="en-US" w:eastAsia="zh-CN"/>
        </w:rPr>
        <w:t>四、保障措施</w:t>
      </w:r>
      <w:bookmarkEnd w:id="82"/>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83" w:name="_Toc5550_WPSOffice_Level2"/>
      <w:r>
        <w:rPr>
          <w:rFonts w:hint="default" w:asciiTheme="majorEastAsia" w:hAnsiTheme="majorEastAsia" w:eastAsiaTheme="majorEastAsia" w:cstheme="majorEastAsia"/>
          <w:b/>
          <w:bCs/>
          <w:sz w:val="32"/>
          <w:szCs w:val="32"/>
          <w:lang w:val="en-US" w:eastAsia="zh-CN"/>
        </w:rPr>
        <w:t>（</w:t>
      </w:r>
      <w:r>
        <w:rPr>
          <w:rFonts w:hint="eastAsia" w:asciiTheme="majorEastAsia" w:hAnsiTheme="majorEastAsia" w:eastAsiaTheme="majorEastAsia" w:cstheme="majorEastAsia"/>
          <w:b/>
          <w:bCs/>
          <w:sz w:val="32"/>
          <w:szCs w:val="32"/>
          <w:lang w:val="en-US" w:eastAsia="zh-CN"/>
        </w:rPr>
        <w:t>一</w:t>
      </w:r>
      <w:r>
        <w:rPr>
          <w:rFonts w:hint="default" w:asciiTheme="majorEastAsia" w:hAnsiTheme="majorEastAsia" w:eastAsiaTheme="majorEastAsia" w:cstheme="majorEastAsia"/>
          <w:b/>
          <w:bCs/>
          <w:sz w:val="32"/>
          <w:szCs w:val="32"/>
          <w:lang w:val="en-US" w:eastAsia="zh-CN"/>
        </w:rPr>
        <w:t>)</w:t>
      </w:r>
      <w:r>
        <w:rPr>
          <w:rFonts w:hint="eastAsia" w:asciiTheme="majorEastAsia" w:hAnsiTheme="majorEastAsia" w:eastAsiaTheme="majorEastAsia" w:cstheme="majorEastAsia"/>
          <w:b/>
          <w:bCs/>
          <w:sz w:val="32"/>
          <w:szCs w:val="32"/>
          <w:lang w:val="en-US" w:eastAsia="zh-CN"/>
        </w:rPr>
        <w:t>加强组织领导</w:t>
      </w:r>
      <w:bookmarkEnd w:id="8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楷体" w:hAnsi="楷体" w:eastAsia="楷体" w:cs="楷体"/>
          <w:sz w:val="32"/>
          <w:szCs w:val="32"/>
          <w:lang w:val="en-US" w:eastAsia="zh-CN"/>
        </w:rPr>
      </w:pPr>
      <w:r>
        <w:rPr>
          <w:rFonts w:hint="eastAsia" w:ascii="仿宋_GB2312" w:hAnsi="仿宋_GB2312" w:eastAsia="仿宋_GB2312" w:cs="仿宋_GB2312"/>
          <w:sz w:val="30"/>
          <w:szCs w:val="30"/>
          <w:lang w:val="en-US" w:eastAsia="zh-CN"/>
        </w:rPr>
        <w:t>加强党对卫生健康事业的全面领导，建立规划的县级协调推进机制，落实主体责任，细化分解任务，按照职责扎实抓好落实，合力推进规划实施。各镇人民政府应落实对辖区基层医疗卫生机构建设的主体责任，科学规划、合理布局、充分保障。</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default" w:asciiTheme="majorEastAsia" w:hAnsiTheme="majorEastAsia" w:eastAsiaTheme="majorEastAsia" w:cstheme="majorEastAsia"/>
          <w:b/>
          <w:bCs/>
          <w:sz w:val="32"/>
          <w:szCs w:val="32"/>
          <w:lang w:val="en-US" w:eastAsia="zh-CN"/>
        </w:rPr>
      </w:pPr>
      <w:bookmarkStart w:id="84" w:name="_Toc18487_WPSOffice_Level2"/>
      <w:r>
        <w:rPr>
          <w:rFonts w:hint="eastAsia" w:asciiTheme="majorEastAsia" w:hAnsiTheme="majorEastAsia" w:eastAsiaTheme="majorEastAsia" w:cstheme="majorEastAsia"/>
          <w:b/>
          <w:bCs/>
          <w:sz w:val="32"/>
          <w:szCs w:val="32"/>
          <w:lang w:val="en-US" w:eastAsia="zh-CN"/>
        </w:rPr>
        <w:t>（二）加大投入力度</w:t>
      </w:r>
      <w:bookmarkEnd w:id="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政府卫生健康投入政策。进一步明确政府、社会与个人的卫生健康投入责任，完善合理分担机制，逐步提高政府卫生健康投入力度，落实政府保障健康领域基本公共服务责任。研究制定公立医院财政投入保障办法，科学界定政府对公立医院的投入责任，改革财政补助方式，巩固完善公立医院补偿新机制。优化政府投资安排方式，规范政府投资管理，创新财政资金使用方式，充分发挥政府投资引导作用。建立多元化、可持续的资金筹集和保障机制，鼓励和引导社会力量加大对卫生健康的投入，形成投资主体多元化、投资方式多样化，推动卫生与健康加快发展。</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default" w:asciiTheme="majorEastAsia" w:hAnsiTheme="majorEastAsia" w:eastAsiaTheme="majorEastAsia" w:cstheme="majorEastAsia"/>
          <w:b/>
          <w:bCs/>
          <w:sz w:val="32"/>
          <w:szCs w:val="32"/>
          <w:lang w:val="en-US" w:eastAsia="zh-CN"/>
        </w:rPr>
      </w:pPr>
      <w:bookmarkStart w:id="85" w:name="_Toc21509_WPSOffice_Level2"/>
      <w:r>
        <w:rPr>
          <w:rFonts w:hint="default" w:asciiTheme="majorEastAsia" w:hAnsiTheme="majorEastAsia" w:eastAsiaTheme="majorEastAsia" w:cstheme="majorEastAsia"/>
          <w:b/>
          <w:bCs/>
          <w:sz w:val="32"/>
          <w:szCs w:val="32"/>
          <w:lang w:val="en-US" w:eastAsia="zh-CN"/>
        </w:rPr>
        <w:t>（三)强化监督评估</w:t>
      </w:r>
      <w:bookmarkEnd w:id="8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对本规划进行细化落实，结合实际研究制定相关配套措施，明确“十四五”期间所要实施的重大工程、重大项目和重大决策，统筹协调推进实施。适时开展规划实施中期评估，强化监测评估结果应用,确保规划各项目标任务和重大工程项目顺利完成。</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both"/>
        <w:textAlignment w:val="auto"/>
        <w:rPr>
          <w:rFonts w:hint="eastAsia" w:asciiTheme="majorEastAsia" w:hAnsiTheme="majorEastAsia" w:eastAsiaTheme="majorEastAsia" w:cstheme="majorEastAsia"/>
          <w:b/>
          <w:bCs/>
          <w:sz w:val="32"/>
          <w:szCs w:val="32"/>
          <w:lang w:val="en-US" w:eastAsia="zh-CN"/>
        </w:rPr>
      </w:pPr>
      <w:bookmarkStart w:id="86" w:name="_Toc2830_WPSOffice_Level2"/>
      <w:r>
        <w:rPr>
          <w:rFonts w:hint="eastAsia" w:asciiTheme="majorEastAsia" w:hAnsiTheme="majorEastAsia" w:eastAsiaTheme="majorEastAsia" w:cstheme="majorEastAsia"/>
          <w:b/>
          <w:bCs/>
          <w:sz w:val="32"/>
          <w:szCs w:val="32"/>
          <w:lang w:val="en-US" w:eastAsia="zh-CN"/>
        </w:rPr>
        <w:t>（四)加强宣传引导</w:t>
      </w:r>
      <w:bookmarkEnd w:id="8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正确的舆论导向，加强政策解读，增强各界对卫生健康发展的普遍认知，调动全社会参与的主动性、积极性，着力培育弘扬健康文化、人人关注健康的社会环境，促进增强科学健康观念和转变健康管理意识，营造卫生健康发展的良好条件。通过多样化的媒体传播手段，及时宣传各类政策信息，回应社会关切，广泛凝聚社会共识，提高群众对改革的知晓率和参与度，营造全社会关心、理解和支持卫生健康事业的良好氛围。</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560" w:lineRule="exact"/>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56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56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4048F"/>
    <w:multiLevelType w:val="multilevel"/>
    <w:tmpl w:val="1BF4048F"/>
    <w:lvl w:ilvl="0" w:tentative="0">
      <w:start w:val="1"/>
      <w:numFmt w:val="chineseCountingThousand"/>
      <w:lvlText w:val="%1、"/>
      <w:lvlJc w:val="left"/>
      <w:pPr>
        <w:ind w:left="0" w:firstLine="0"/>
      </w:pPr>
      <w:rPr>
        <w:rFonts w:hint="eastAsia" w:ascii="Times New Roman" w:hAnsi="Times New Roman" w:eastAsia="黑体" w:cs="Times New Roman"/>
        <w:b/>
        <w:i w:val="0"/>
        <w:sz w:val="30"/>
        <w:szCs w:val="30"/>
        <w:lang w:val="en-US"/>
      </w:rPr>
    </w:lvl>
    <w:lvl w:ilvl="1" w:tentative="0">
      <w:start w:val="1"/>
      <w:numFmt w:val="decimal"/>
      <w:pStyle w:val="5"/>
      <w:isLgl/>
      <w:lvlText w:val="%1.%2"/>
      <w:lvlJc w:val="left"/>
      <w:pPr>
        <w:ind w:left="0" w:firstLine="0"/>
      </w:pPr>
      <w:rPr>
        <w:rFonts w:hint="eastAsia" w:ascii="Times New Roman" w:hAnsi="Times New Roman" w:eastAsia="黑体" w:cs="Times New Roman"/>
        <w:b/>
        <w:sz w:val="28"/>
        <w:szCs w:val="28"/>
      </w:rPr>
    </w:lvl>
    <w:lvl w:ilvl="2" w:tentative="0">
      <w:start w:val="1"/>
      <w:numFmt w:val="decimal"/>
      <w:isLgl/>
      <w:lvlText w:val="%1.%2.%3"/>
      <w:lvlJc w:val="left"/>
      <w:pPr>
        <w:ind w:left="0" w:firstLine="0"/>
      </w:pPr>
      <w:rPr>
        <w:rFonts w:hint="eastAsia" w:ascii="Times New Roman" w:hAnsi="Times New Roman" w:eastAsia="黑体" w:cs="Times New Roman"/>
        <w:b/>
        <w:sz w:val="28"/>
        <w:szCs w:val="28"/>
      </w:rPr>
    </w:lvl>
    <w:lvl w:ilvl="3" w:tentative="0">
      <w:start w:val="1"/>
      <w:numFmt w:val="decimal"/>
      <w:isLgl/>
      <w:lvlText w:val="%1.%2.%3.%4"/>
      <w:lvlJc w:val="left"/>
      <w:pPr>
        <w:ind w:left="0" w:firstLine="0"/>
      </w:pPr>
      <w:rPr>
        <w:rFonts w:hint="eastAsia" w:ascii="Times New Roman" w:hAnsi="Times New Roman" w:eastAsia="仿宋_GB2312" w:cs="Times New Roman"/>
        <w:sz w:val="28"/>
        <w:szCs w:val="28"/>
      </w:rPr>
    </w:lvl>
    <w:lvl w:ilvl="4" w:tentative="0">
      <w:start w:val="1"/>
      <w:numFmt w:val="decimal"/>
      <w:isLgl/>
      <w:lvlText w:val="%1.%2.%3.%4.%5"/>
      <w:lvlJc w:val="left"/>
      <w:pPr>
        <w:ind w:left="0" w:firstLine="0"/>
      </w:pPr>
      <w:rPr>
        <w:rFonts w:hint="eastAsia" w:ascii="Times New Roman" w:hAnsi="Times New Roman" w:eastAsia="仿宋_GB2312" w:cs="Times New Roman"/>
        <w:sz w:val="24"/>
        <w:szCs w:val="28"/>
      </w:rPr>
    </w:lvl>
    <w:lvl w:ilvl="5" w:tentative="0">
      <w:start w:val="1"/>
      <w:numFmt w:val="decimal"/>
      <w:isLgl/>
      <w:lvlText w:val="%1.%2.%3.%4.%5.%6"/>
      <w:lvlJc w:val="left"/>
      <w:pPr>
        <w:ind w:left="0" w:firstLine="0"/>
      </w:pPr>
      <w:rPr>
        <w:rFonts w:hint="eastAsia" w:ascii="Times New Roman" w:hAnsi="Times New Roman" w:eastAsia="黑体" w:cs="Times New Roman"/>
        <w:sz w:val="24"/>
        <w:szCs w:val="28"/>
      </w:rPr>
    </w:lvl>
    <w:lvl w:ilvl="6" w:tentative="0">
      <w:start w:val="1"/>
      <w:numFmt w:val="decimal"/>
      <w:isLgl/>
      <w:lvlText w:val="%1.%2.%3.%4.%5.%6.%7"/>
      <w:lvlJc w:val="left"/>
      <w:pPr>
        <w:ind w:left="0" w:firstLine="0"/>
      </w:pPr>
      <w:rPr>
        <w:rFonts w:hint="eastAsia" w:ascii="Times New Roman" w:hAnsi="Times New Roman" w:eastAsia="宋体" w:cs="Times New Roman"/>
        <w:sz w:val="24"/>
        <w:szCs w:val="28"/>
      </w:rPr>
    </w:lvl>
    <w:lvl w:ilvl="7" w:tentative="0">
      <w:start w:val="1"/>
      <w:numFmt w:val="decimal"/>
      <w:isLgl/>
      <w:lvlText w:val="%1.%2.%3.%4.%5.%6.%7.%8"/>
      <w:lvlJc w:val="left"/>
      <w:pPr>
        <w:ind w:left="0" w:firstLine="0"/>
      </w:pPr>
      <w:rPr>
        <w:rFonts w:hint="eastAsia" w:ascii="Times New Roman" w:hAnsi="Times New Roman" w:eastAsia="黑体" w:cs="Times New Roman"/>
        <w:sz w:val="24"/>
        <w:szCs w:val="28"/>
      </w:rPr>
    </w:lvl>
    <w:lvl w:ilvl="8" w:tentative="0">
      <w:start w:val="1"/>
      <w:numFmt w:val="decimal"/>
      <w:isLgl/>
      <w:suff w:val="nothing"/>
      <w:lvlText w:val="%1.%2.%3.%4.%5.%6.%7.%8.%9"/>
      <w:lvlJc w:val="left"/>
      <w:pPr>
        <w:ind w:left="0" w:firstLine="0"/>
      </w:pPr>
      <w:rPr>
        <w:rFonts w:hint="default" w:ascii="Times New Roman" w:hAnsi="Times New Roman" w:eastAsia="黑体" w:cs="Times New Roman"/>
        <w:b/>
        <w:i w:val="0"/>
        <w:sz w:val="24"/>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ZTliODFmNTgzZmUyZjRmZGEzZjJmZTkwZGY0MmMifQ=="/>
  </w:docVars>
  <w:rsids>
    <w:rsidRoot w:val="00000000"/>
    <w:rsid w:val="00283E2A"/>
    <w:rsid w:val="002F177F"/>
    <w:rsid w:val="004710E5"/>
    <w:rsid w:val="00640C94"/>
    <w:rsid w:val="00964B80"/>
    <w:rsid w:val="00A40B8D"/>
    <w:rsid w:val="011E4816"/>
    <w:rsid w:val="011F253C"/>
    <w:rsid w:val="01400B5D"/>
    <w:rsid w:val="014C253E"/>
    <w:rsid w:val="015B7DC2"/>
    <w:rsid w:val="0165486F"/>
    <w:rsid w:val="016D533C"/>
    <w:rsid w:val="019376CD"/>
    <w:rsid w:val="01955C1F"/>
    <w:rsid w:val="01AA559D"/>
    <w:rsid w:val="01AC34CB"/>
    <w:rsid w:val="01F74F57"/>
    <w:rsid w:val="02307ED2"/>
    <w:rsid w:val="023242B9"/>
    <w:rsid w:val="024A349F"/>
    <w:rsid w:val="024B5FB4"/>
    <w:rsid w:val="02A957F6"/>
    <w:rsid w:val="02AD4932"/>
    <w:rsid w:val="02CC5FDE"/>
    <w:rsid w:val="02F7667A"/>
    <w:rsid w:val="02FD0CAA"/>
    <w:rsid w:val="036E0EFD"/>
    <w:rsid w:val="038252CE"/>
    <w:rsid w:val="03BA4F03"/>
    <w:rsid w:val="03C125AB"/>
    <w:rsid w:val="03E11261"/>
    <w:rsid w:val="04197E8F"/>
    <w:rsid w:val="042167B5"/>
    <w:rsid w:val="0425785D"/>
    <w:rsid w:val="044C7C47"/>
    <w:rsid w:val="0471371C"/>
    <w:rsid w:val="04801628"/>
    <w:rsid w:val="04827711"/>
    <w:rsid w:val="04A845B3"/>
    <w:rsid w:val="04B0713E"/>
    <w:rsid w:val="04BD1207"/>
    <w:rsid w:val="04D640A7"/>
    <w:rsid w:val="04DE7BED"/>
    <w:rsid w:val="04F27D17"/>
    <w:rsid w:val="05353342"/>
    <w:rsid w:val="054109AC"/>
    <w:rsid w:val="05455A82"/>
    <w:rsid w:val="05512596"/>
    <w:rsid w:val="058938AD"/>
    <w:rsid w:val="059A3F7F"/>
    <w:rsid w:val="05A074AB"/>
    <w:rsid w:val="05AA624B"/>
    <w:rsid w:val="05AD3A83"/>
    <w:rsid w:val="05C1409B"/>
    <w:rsid w:val="05DF518D"/>
    <w:rsid w:val="05E117EC"/>
    <w:rsid w:val="05FB267B"/>
    <w:rsid w:val="06311DFE"/>
    <w:rsid w:val="06401F30"/>
    <w:rsid w:val="065E0B6F"/>
    <w:rsid w:val="066709F0"/>
    <w:rsid w:val="068C3E93"/>
    <w:rsid w:val="06986B2F"/>
    <w:rsid w:val="06AA20E4"/>
    <w:rsid w:val="06D179FB"/>
    <w:rsid w:val="06D91AAD"/>
    <w:rsid w:val="06EC4115"/>
    <w:rsid w:val="070113C9"/>
    <w:rsid w:val="07313449"/>
    <w:rsid w:val="074B0D50"/>
    <w:rsid w:val="07BA7588"/>
    <w:rsid w:val="07E65029"/>
    <w:rsid w:val="08413CBA"/>
    <w:rsid w:val="086069D8"/>
    <w:rsid w:val="086D6CE7"/>
    <w:rsid w:val="0875673B"/>
    <w:rsid w:val="08A53712"/>
    <w:rsid w:val="08B67120"/>
    <w:rsid w:val="08C00D19"/>
    <w:rsid w:val="08C748F2"/>
    <w:rsid w:val="08CE1FD0"/>
    <w:rsid w:val="08F478F8"/>
    <w:rsid w:val="08F603B2"/>
    <w:rsid w:val="0919607C"/>
    <w:rsid w:val="092600E7"/>
    <w:rsid w:val="092C3E85"/>
    <w:rsid w:val="095922C7"/>
    <w:rsid w:val="096D04C2"/>
    <w:rsid w:val="096D67FE"/>
    <w:rsid w:val="0B250991"/>
    <w:rsid w:val="0B4E2D07"/>
    <w:rsid w:val="0B6043DD"/>
    <w:rsid w:val="0B8077B1"/>
    <w:rsid w:val="0B8A0F3B"/>
    <w:rsid w:val="0B942F0D"/>
    <w:rsid w:val="0BA56AF5"/>
    <w:rsid w:val="0BB102BE"/>
    <w:rsid w:val="0BB630AF"/>
    <w:rsid w:val="0BFC3ADB"/>
    <w:rsid w:val="0C014C77"/>
    <w:rsid w:val="0C3C6D2C"/>
    <w:rsid w:val="0C3E79F5"/>
    <w:rsid w:val="0C4B5A22"/>
    <w:rsid w:val="0C54187D"/>
    <w:rsid w:val="0C5F6390"/>
    <w:rsid w:val="0CB302BB"/>
    <w:rsid w:val="0CCC123F"/>
    <w:rsid w:val="0CE02289"/>
    <w:rsid w:val="0D1A6A84"/>
    <w:rsid w:val="0D252B47"/>
    <w:rsid w:val="0D593D9F"/>
    <w:rsid w:val="0D7131C0"/>
    <w:rsid w:val="0D7F04F4"/>
    <w:rsid w:val="0D925516"/>
    <w:rsid w:val="0D946B78"/>
    <w:rsid w:val="0DBF2688"/>
    <w:rsid w:val="0DD35DA5"/>
    <w:rsid w:val="0DF63B0D"/>
    <w:rsid w:val="0DF87D7C"/>
    <w:rsid w:val="0E0B68A8"/>
    <w:rsid w:val="0E112051"/>
    <w:rsid w:val="0E29217D"/>
    <w:rsid w:val="0E2A3415"/>
    <w:rsid w:val="0E3348B6"/>
    <w:rsid w:val="0E68682A"/>
    <w:rsid w:val="0E7F2BB5"/>
    <w:rsid w:val="0E9F6CBF"/>
    <w:rsid w:val="0EC349F8"/>
    <w:rsid w:val="0EC729DB"/>
    <w:rsid w:val="0ED957FB"/>
    <w:rsid w:val="0EF12601"/>
    <w:rsid w:val="0F1057E5"/>
    <w:rsid w:val="0F537613"/>
    <w:rsid w:val="0F7C6379"/>
    <w:rsid w:val="0F8F3A87"/>
    <w:rsid w:val="0FB41B6E"/>
    <w:rsid w:val="0FE73B8E"/>
    <w:rsid w:val="0FF137B6"/>
    <w:rsid w:val="0FFA6D2E"/>
    <w:rsid w:val="10107402"/>
    <w:rsid w:val="10204B8B"/>
    <w:rsid w:val="10415ADB"/>
    <w:rsid w:val="104A3BC8"/>
    <w:rsid w:val="10580BDC"/>
    <w:rsid w:val="109C7A79"/>
    <w:rsid w:val="10AF2297"/>
    <w:rsid w:val="10D52A9D"/>
    <w:rsid w:val="10E52122"/>
    <w:rsid w:val="113D4D72"/>
    <w:rsid w:val="11457119"/>
    <w:rsid w:val="118774B7"/>
    <w:rsid w:val="119027DB"/>
    <w:rsid w:val="11962C7B"/>
    <w:rsid w:val="119B79E2"/>
    <w:rsid w:val="11A8130F"/>
    <w:rsid w:val="11C44974"/>
    <w:rsid w:val="123E7F72"/>
    <w:rsid w:val="12412C2F"/>
    <w:rsid w:val="1244472E"/>
    <w:rsid w:val="1253231B"/>
    <w:rsid w:val="128E716E"/>
    <w:rsid w:val="129467D2"/>
    <w:rsid w:val="12B728B3"/>
    <w:rsid w:val="12B93C71"/>
    <w:rsid w:val="12C2592F"/>
    <w:rsid w:val="131E11C4"/>
    <w:rsid w:val="13597D96"/>
    <w:rsid w:val="13982945"/>
    <w:rsid w:val="13FC01B1"/>
    <w:rsid w:val="14135784"/>
    <w:rsid w:val="14C0349C"/>
    <w:rsid w:val="153D6025"/>
    <w:rsid w:val="15A22675"/>
    <w:rsid w:val="15BC2419"/>
    <w:rsid w:val="15BF2927"/>
    <w:rsid w:val="15CF78DB"/>
    <w:rsid w:val="16173EF0"/>
    <w:rsid w:val="16290F88"/>
    <w:rsid w:val="16327565"/>
    <w:rsid w:val="16491459"/>
    <w:rsid w:val="16746F0C"/>
    <w:rsid w:val="16D81EF4"/>
    <w:rsid w:val="172B136B"/>
    <w:rsid w:val="176F153D"/>
    <w:rsid w:val="178730D6"/>
    <w:rsid w:val="17AA1863"/>
    <w:rsid w:val="17AE3C85"/>
    <w:rsid w:val="17E152C8"/>
    <w:rsid w:val="17E32FF0"/>
    <w:rsid w:val="18564CB5"/>
    <w:rsid w:val="18991CE2"/>
    <w:rsid w:val="18A92342"/>
    <w:rsid w:val="193D2718"/>
    <w:rsid w:val="193E75A5"/>
    <w:rsid w:val="193F7252"/>
    <w:rsid w:val="19454AFF"/>
    <w:rsid w:val="194D5DFE"/>
    <w:rsid w:val="196E2341"/>
    <w:rsid w:val="198457A3"/>
    <w:rsid w:val="199377CE"/>
    <w:rsid w:val="19E23622"/>
    <w:rsid w:val="1A9A2273"/>
    <w:rsid w:val="1AB26AB0"/>
    <w:rsid w:val="1AF240B3"/>
    <w:rsid w:val="1AFA5396"/>
    <w:rsid w:val="1B1707A2"/>
    <w:rsid w:val="1B452B9A"/>
    <w:rsid w:val="1B596AA1"/>
    <w:rsid w:val="1B897711"/>
    <w:rsid w:val="1BA05993"/>
    <w:rsid w:val="1BE81547"/>
    <w:rsid w:val="1C0350D6"/>
    <w:rsid w:val="1C123F69"/>
    <w:rsid w:val="1C1A6FB7"/>
    <w:rsid w:val="1C2D3733"/>
    <w:rsid w:val="1C30346C"/>
    <w:rsid w:val="1C467097"/>
    <w:rsid w:val="1CB6720D"/>
    <w:rsid w:val="1CE318EA"/>
    <w:rsid w:val="1CED3684"/>
    <w:rsid w:val="1CFD7A44"/>
    <w:rsid w:val="1D553D04"/>
    <w:rsid w:val="1D6E6DEC"/>
    <w:rsid w:val="1D7768AC"/>
    <w:rsid w:val="1D9D45A6"/>
    <w:rsid w:val="1DC160B9"/>
    <w:rsid w:val="1DE47A35"/>
    <w:rsid w:val="1DE852F9"/>
    <w:rsid w:val="1DEB5A8D"/>
    <w:rsid w:val="1DF003B0"/>
    <w:rsid w:val="1DF16686"/>
    <w:rsid w:val="1E143B62"/>
    <w:rsid w:val="1E144E3E"/>
    <w:rsid w:val="1E2C14B9"/>
    <w:rsid w:val="1E5866DD"/>
    <w:rsid w:val="1E8C7744"/>
    <w:rsid w:val="1F2707EC"/>
    <w:rsid w:val="1F3E6060"/>
    <w:rsid w:val="1F4202D5"/>
    <w:rsid w:val="1F531646"/>
    <w:rsid w:val="1F651BB8"/>
    <w:rsid w:val="1F695F97"/>
    <w:rsid w:val="1F6E3686"/>
    <w:rsid w:val="1F8E4E76"/>
    <w:rsid w:val="1FB8145E"/>
    <w:rsid w:val="20015697"/>
    <w:rsid w:val="2009288D"/>
    <w:rsid w:val="20192A7E"/>
    <w:rsid w:val="201A699D"/>
    <w:rsid w:val="20245C9B"/>
    <w:rsid w:val="205B55ED"/>
    <w:rsid w:val="20897403"/>
    <w:rsid w:val="208A5B51"/>
    <w:rsid w:val="20A06FE1"/>
    <w:rsid w:val="20D06576"/>
    <w:rsid w:val="2130308F"/>
    <w:rsid w:val="21800426"/>
    <w:rsid w:val="2183515D"/>
    <w:rsid w:val="21911532"/>
    <w:rsid w:val="219300F0"/>
    <w:rsid w:val="22385910"/>
    <w:rsid w:val="226E5F68"/>
    <w:rsid w:val="227912E1"/>
    <w:rsid w:val="227D6665"/>
    <w:rsid w:val="229E5655"/>
    <w:rsid w:val="22B278F2"/>
    <w:rsid w:val="22BB36DF"/>
    <w:rsid w:val="238E1620"/>
    <w:rsid w:val="23A462DA"/>
    <w:rsid w:val="23B61502"/>
    <w:rsid w:val="23DD4D61"/>
    <w:rsid w:val="24002822"/>
    <w:rsid w:val="24100F91"/>
    <w:rsid w:val="241E5800"/>
    <w:rsid w:val="24242E89"/>
    <w:rsid w:val="24276766"/>
    <w:rsid w:val="243A26AB"/>
    <w:rsid w:val="2447634A"/>
    <w:rsid w:val="24B1783A"/>
    <w:rsid w:val="24CA42FB"/>
    <w:rsid w:val="24CF73FF"/>
    <w:rsid w:val="24D80BF2"/>
    <w:rsid w:val="25240608"/>
    <w:rsid w:val="254C40BE"/>
    <w:rsid w:val="255844A4"/>
    <w:rsid w:val="25AB4CED"/>
    <w:rsid w:val="25C00065"/>
    <w:rsid w:val="25C74A99"/>
    <w:rsid w:val="261D30D6"/>
    <w:rsid w:val="263B6F74"/>
    <w:rsid w:val="264D5277"/>
    <w:rsid w:val="265A7E6D"/>
    <w:rsid w:val="266F2A2B"/>
    <w:rsid w:val="268F4BC2"/>
    <w:rsid w:val="26966DB4"/>
    <w:rsid w:val="26AB3691"/>
    <w:rsid w:val="27007986"/>
    <w:rsid w:val="27057B53"/>
    <w:rsid w:val="270C3A47"/>
    <w:rsid w:val="27315D4B"/>
    <w:rsid w:val="273F2D44"/>
    <w:rsid w:val="2789216C"/>
    <w:rsid w:val="2792313A"/>
    <w:rsid w:val="2797447F"/>
    <w:rsid w:val="27A52DFD"/>
    <w:rsid w:val="27F31295"/>
    <w:rsid w:val="288A4D35"/>
    <w:rsid w:val="28A93F35"/>
    <w:rsid w:val="28B31870"/>
    <w:rsid w:val="28C86BB8"/>
    <w:rsid w:val="28C94244"/>
    <w:rsid w:val="28F04650"/>
    <w:rsid w:val="28F826CD"/>
    <w:rsid w:val="29192FA3"/>
    <w:rsid w:val="293F2C20"/>
    <w:rsid w:val="299C3663"/>
    <w:rsid w:val="29CE69BF"/>
    <w:rsid w:val="29DA3B28"/>
    <w:rsid w:val="29ED151D"/>
    <w:rsid w:val="2A3F6933"/>
    <w:rsid w:val="2A517A32"/>
    <w:rsid w:val="2A652572"/>
    <w:rsid w:val="2A7B715C"/>
    <w:rsid w:val="2AD960BA"/>
    <w:rsid w:val="2AEB48DB"/>
    <w:rsid w:val="2B114927"/>
    <w:rsid w:val="2B1A7BFC"/>
    <w:rsid w:val="2B221FB0"/>
    <w:rsid w:val="2B5B31B8"/>
    <w:rsid w:val="2B60074E"/>
    <w:rsid w:val="2BD26425"/>
    <w:rsid w:val="2BE42429"/>
    <w:rsid w:val="2BED7B46"/>
    <w:rsid w:val="2C1D6BE6"/>
    <w:rsid w:val="2C3A5FEA"/>
    <w:rsid w:val="2C4D2832"/>
    <w:rsid w:val="2C662B15"/>
    <w:rsid w:val="2C802AC2"/>
    <w:rsid w:val="2C964123"/>
    <w:rsid w:val="2CA46F24"/>
    <w:rsid w:val="2CBF7D3E"/>
    <w:rsid w:val="2CC87950"/>
    <w:rsid w:val="2D534341"/>
    <w:rsid w:val="2D787F4B"/>
    <w:rsid w:val="2DC632FF"/>
    <w:rsid w:val="2DCB512E"/>
    <w:rsid w:val="2DE12043"/>
    <w:rsid w:val="2DEB04E8"/>
    <w:rsid w:val="2E0A542D"/>
    <w:rsid w:val="2E0F4C4B"/>
    <w:rsid w:val="2E2D4151"/>
    <w:rsid w:val="2E666769"/>
    <w:rsid w:val="2E72688D"/>
    <w:rsid w:val="2E800822"/>
    <w:rsid w:val="2EE755E7"/>
    <w:rsid w:val="2F2F4F69"/>
    <w:rsid w:val="2F35042B"/>
    <w:rsid w:val="2F682D86"/>
    <w:rsid w:val="2F7112A9"/>
    <w:rsid w:val="2F8B2E0E"/>
    <w:rsid w:val="2F976FBE"/>
    <w:rsid w:val="30095594"/>
    <w:rsid w:val="301A26C0"/>
    <w:rsid w:val="30345298"/>
    <w:rsid w:val="306242D4"/>
    <w:rsid w:val="30BC44EE"/>
    <w:rsid w:val="30BC754E"/>
    <w:rsid w:val="30D95034"/>
    <w:rsid w:val="30E904FC"/>
    <w:rsid w:val="310024F9"/>
    <w:rsid w:val="31181EF6"/>
    <w:rsid w:val="3118528F"/>
    <w:rsid w:val="31241047"/>
    <w:rsid w:val="315E55C4"/>
    <w:rsid w:val="31970E96"/>
    <w:rsid w:val="319F4F06"/>
    <w:rsid w:val="31B80DE7"/>
    <w:rsid w:val="31E82220"/>
    <w:rsid w:val="31ED75D2"/>
    <w:rsid w:val="31F1565B"/>
    <w:rsid w:val="31F4464D"/>
    <w:rsid w:val="32093806"/>
    <w:rsid w:val="3224724F"/>
    <w:rsid w:val="3262416F"/>
    <w:rsid w:val="329630B8"/>
    <w:rsid w:val="32BE5D9B"/>
    <w:rsid w:val="32E52288"/>
    <w:rsid w:val="334A6864"/>
    <w:rsid w:val="33546773"/>
    <w:rsid w:val="335B48AF"/>
    <w:rsid w:val="335F4E47"/>
    <w:rsid w:val="3378350E"/>
    <w:rsid w:val="338F5B61"/>
    <w:rsid w:val="33983FCE"/>
    <w:rsid w:val="33A3030B"/>
    <w:rsid w:val="33F63370"/>
    <w:rsid w:val="340D1429"/>
    <w:rsid w:val="34884FD5"/>
    <w:rsid w:val="34984381"/>
    <w:rsid w:val="34E734C4"/>
    <w:rsid w:val="34E81C26"/>
    <w:rsid w:val="34F25530"/>
    <w:rsid w:val="34FC464D"/>
    <w:rsid w:val="35822F52"/>
    <w:rsid w:val="358C302F"/>
    <w:rsid w:val="35B57C8D"/>
    <w:rsid w:val="35F05288"/>
    <w:rsid w:val="35FD225A"/>
    <w:rsid w:val="36103326"/>
    <w:rsid w:val="361154A9"/>
    <w:rsid w:val="364916BF"/>
    <w:rsid w:val="367274C4"/>
    <w:rsid w:val="369F0879"/>
    <w:rsid w:val="36B805E5"/>
    <w:rsid w:val="372E02A8"/>
    <w:rsid w:val="376E5D39"/>
    <w:rsid w:val="378D48EF"/>
    <w:rsid w:val="379F041C"/>
    <w:rsid w:val="37C26E6F"/>
    <w:rsid w:val="382D3419"/>
    <w:rsid w:val="384C09C9"/>
    <w:rsid w:val="384D1B3A"/>
    <w:rsid w:val="385C203E"/>
    <w:rsid w:val="385D0735"/>
    <w:rsid w:val="387E2C4C"/>
    <w:rsid w:val="38B1388B"/>
    <w:rsid w:val="38E02BBB"/>
    <w:rsid w:val="38E572E4"/>
    <w:rsid w:val="38E947BB"/>
    <w:rsid w:val="39022387"/>
    <w:rsid w:val="392F6214"/>
    <w:rsid w:val="395B2EEF"/>
    <w:rsid w:val="39684D06"/>
    <w:rsid w:val="39820E4E"/>
    <w:rsid w:val="39891FBF"/>
    <w:rsid w:val="39A72BF7"/>
    <w:rsid w:val="39CB3625"/>
    <w:rsid w:val="39F079F9"/>
    <w:rsid w:val="3A1E2AEC"/>
    <w:rsid w:val="3A2222ED"/>
    <w:rsid w:val="3A3D78B0"/>
    <w:rsid w:val="3A4A1E41"/>
    <w:rsid w:val="3A4B2CBC"/>
    <w:rsid w:val="3A7C41F6"/>
    <w:rsid w:val="3A926E46"/>
    <w:rsid w:val="3A970CFF"/>
    <w:rsid w:val="3AAA34C2"/>
    <w:rsid w:val="3AAA6014"/>
    <w:rsid w:val="3AAE5853"/>
    <w:rsid w:val="3ABA2A6A"/>
    <w:rsid w:val="3ACF072E"/>
    <w:rsid w:val="3B241290"/>
    <w:rsid w:val="3B4B1B40"/>
    <w:rsid w:val="3B577F0C"/>
    <w:rsid w:val="3B633309"/>
    <w:rsid w:val="3B6A67AC"/>
    <w:rsid w:val="3B7D1185"/>
    <w:rsid w:val="3B842B8E"/>
    <w:rsid w:val="3B9B485C"/>
    <w:rsid w:val="3BA063FB"/>
    <w:rsid w:val="3BEE0C16"/>
    <w:rsid w:val="3BF373B1"/>
    <w:rsid w:val="3BFB7875"/>
    <w:rsid w:val="3C0E2F2C"/>
    <w:rsid w:val="3C2804D1"/>
    <w:rsid w:val="3C82655B"/>
    <w:rsid w:val="3C9B6A80"/>
    <w:rsid w:val="3C9D2343"/>
    <w:rsid w:val="3CAA0C2A"/>
    <w:rsid w:val="3CD24061"/>
    <w:rsid w:val="3CD45EDA"/>
    <w:rsid w:val="3CDF336B"/>
    <w:rsid w:val="3CE17005"/>
    <w:rsid w:val="3CFA7DA7"/>
    <w:rsid w:val="3D0B0730"/>
    <w:rsid w:val="3D8B453D"/>
    <w:rsid w:val="3DA36FDD"/>
    <w:rsid w:val="3DA448D4"/>
    <w:rsid w:val="3DA96F72"/>
    <w:rsid w:val="3DB30191"/>
    <w:rsid w:val="3E172AD4"/>
    <w:rsid w:val="3E6C0EE6"/>
    <w:rsid w:val="3E756C84"/>
    <w:rsid w:val="3E86397F"/>
    <w:rsid w:val="3EA00A69"/>
    <w:rsid w:val="3EA92CF7"/>
    <w:rsid w:val="3EA94D20"/>
    <w:rsid w:val="3EC3035D"/>
    <w:rsid w:val="3ECE0318"/>
    <w:rsid w:val="3EFB54B6"/>
    <w:rsid w:val="3F120E12"/>
    <w:rsid w:val="3F6514C3"/>
    <w:rsid w:val="3F710317"/>
    <w:rsid w:val="3F8F0623"/>
    <w:rsid w:val="3FC07B0E"/>
    <w:rsid w:val="3FDC1B14"/>
    <w:rsid w:val="3FE04CFC"/>
    <w:rsid w:val="40003C5B"/>
    <w:rsid w:val="401F3152"/>
    <w:rsid w:val="402C7F09"/>
    <w:rsid w:val="40362CF3"/>
    <w:rsid w:val="404D7C77"/>
    <w:rsid w:val="4082257D"/>
    <w:rsid w:val="40971137"/>
    <w:rsid w:val="40AA33D2"/>
    <w:rsid w:val="40CD468D"/>
    <w:rsid w:val="40D61697"/>
    <w:rsid w:val="40FE67F3"/>
    <w:rsid w:val="411B1196"/>
    <w:rsid w:val="41270545"/>
    <w:rsid w:val="41487AE4"/>
    <w:rsid w:val="4157061F"/>
    <w:rsid w:val="415A299E"/>
    <w:rsid w:val="415C523C"/>
    <w:rsid w:val="41657258"/>
    <w:rsid w:val="416C4BA0"/>
    <w:rsid w:val="417B5E61"/>
    <w:rsid w:val="417D567F"/>
    <w:rsid w:val="417F7158"/>
    <w:rsid w:val="41B05234"/>
    <w:rsid w:val="41BC5105"/>
    <w:rsid w:val="41F01FD6"/>
    <w:rsid w:val="42015464"/>
    <w:rsid w:val="421E3F2A"/>
    <w:rsid w:val="425B68B1"/>
    <w:rsid w:val="42940CEF"/>
    <w:rsid w:val="42CF1281"/>
    <w:rsid w:val="42D205C8"/>
    <w:rsid w:val="42E57A1B"/>
    <w:rsid w:val="42F87A6F"/>
    <w:rsid w:val="432A2536"/>
    <w:rsid w:val="433623FF"/>
    <w:rsid w:val="43406117"/>
    <w:rsid w:val="43496FA1"/>
    <w:rsid w:val="435E4086"/>
    <w:rsid w:val="43873790"/>
    <w:rsid w:val="439D3506"/>
    <w:rsid w:val="43E560F1"/>
    <w:rsid w:val="43EB4654"/>
    <w:rsid w:val="440E2BD6"/>
    <w:rsid w:val="44345588"/>
    <w:rsid w:val="444510E8"/>
    <w:rsid w:val="4455679D"/>
    <w:rsid w:val="44A85E4D"/>
    <w:rsid w:val="44B34D89"/>
    <w:rsid w:val="44C33412"/>
    <w:rsid w:val="44E03418"/>
    <w:rsid w:val="44F27F72"/>
    <w:rsid w:val="44FA184F"/>
    <w:rsid w:val="452B1757"/>
    <w:rsid w:val="4532655F"/>
    <w:rsid w:val="45443C50"/>
    <w:rsid w:val="454C1E3F"/>
    <w:rsid w:val="45545148"/>
    <w:rsid w:val="458472E3"/>
    <w:rsid w:val="458C02D9"/>
    <w:rsid w:val="459D27B2"/>
    <w:rsid w:val="45B028D1"/>
    <w:rsid w:val="45F81CAB"/>
    <w:rsid w:val="46052BCE"/>
    <w:rsid w:val="46106A64"/>
    <w:rsid w:val="461D5214"/>
    <w:rsid w:val="461E0578"/>
    <w:rsid w:val="462E6F13"/>
    <w:rsid w:val="463B0EF6"/>
    <w:rsid w:val="46484AE5"/>
    <w:rsid w:val="46672CFC"/>
    <w:rsid w:val="46715A34"/>
    <w:rsid w:val="46923763"/>
    <w:rsid w:val="46971458"/>
    <w:rsid w:val="469940CF"/>
    <w:rsid w:val="469D4008"/>
    <w:rsid w:val="46B46A75"/>
    <w:rsid w:val="46B7506C"/>
    <w:rsid w:val="46D724FD"/>
    <w:rsid w:val="46D97D05"/>
    <w:rsid w:val="47211D56"/>
    <w:rsid w:val="472C11ED"/>
    <w:rsid w:val="4737290E"/>
    <w:rsid w:val="477D37A1"/>
    <w:rsid w:val="47D619BA"/>
    <w:rsid w:val="47DA4A53"/>
    <w:rsid w:val="47DB735C"/>
    <w:rsid w:val="48040ADF"/>
    <w:rsid w:val="48543D99"/>
    <w:rsid w:val="48F54240"/>
    <w:rsid w:val="490231AB"/>
    <w:rsid w:val="491535A2"/>
    <w:rsid w:val="493F1AEF"/>
    <w:rsid w:val="49597D0C"/>
    <w:rsid w:val="49B10E78"/>
    <w:rsid w:val="49DD08DE"/>
    <w:rsid w:val="49FC2330"/>
    <w:rsid w:val="4AAD782C"/>
    <w:rsid w:val="4AB70CF5"/>
    <w:rsid w:val="4AB8212E"/>
    <w:rsid w:val="4AB91B15"/>
    <w:rsid w:val="4AEC4318"/>
    <w:rsid w:val="4B183A86"/>
    <w:rsid w:val="4B2E7C9A"/>
    <w:rsid w:val="4B3B7654"/>
    <w:rsid w:val="4B6F0490"/>
    <w:rsid w:val="4B77304C"/>
    <w:rsid w:val="4B911B72"/>
    <w:rsid w:val="4BA802DD"/>
    <w:rsid w:val="4BAF632C"/>
    <w:rsid w:val="4BCB5335"/>
    <w:rsid w:val="4BCE69A1"/>
    <w:rsid w:val="4C4F0FE7"/>
    <w:rsid w:val="4C6E57B5"/>
    <w:rsid w:val="4C922C7B"/>
    <w:rsid w:val="4CB578C2"/>
    <w:rsid w:val="4CDC3163"/>
    <w:rsid w:val="4D0B7FD4"/>
    <w:rsid w:val="4D1B5690"/>
    <w:rsid w:val="4D2F3FD2"/>
    <w:rsid w:val="4D4F1257"/>
    <w:rsid w:val="4D99525E"/>
    <w:rsid w:val="4DC439B1"/>
    <w:rsid w:val="4DD13BF5"/>
    <w:rsid w:val="4DDA3664"/>
    <w:rsid w:val="4DE73E95"/>
    <w:rsid w:val="4E335724"/>
    <w:rsid w:val="4E84615C"/>
    <w:rsid w:val="4E986EAD"/>
    <w:rsid w:val="4E9905F6"/>
    <w:rsid w:val="4EC41AF5"/>
    <w:rsid w:val="4EF56A53"/>
    <w:rsid w:val="4F0B1278"/>
    <w:rsid w:val="4F4D66BC"/>
    <w:rsid w:val="4F593BBA"/>
    <w:rsid w:val="4F77421E"/>
    <w:rsid w:val="4FB84277"/>
    <w:rsid w:val="4FC37762"/>
    <w:rsid w:val="4FC94C43"/>
    <w:rsid w:val="500C25DE"/>
    <w:rsid w:val="50337A16"/>
    <w:rsid w:val="505C0826"/>
    <w:rsid w:val="505F6CEB"/>
    <w:rsid w:val="505F79B0"/>
    <w:rsid w:val="50653E38"/>
    <w:rsid w:val="50812D2D"/>
    <w:rsid w:val="509734A9"/>
    <w:rsid w:val="50B4436A"/>
    <w:rsid w:val="50B5027D"/>
    <w:rsid w:val="50BF61E4"/>
    <w:rsid w:val="51467BE8"/>
    <w:rsid w:val="514D7125"/>
    <w:rsid w:val="515600F6"/>
    <w:rsid w:val="518C6A05"/>
    <w:rsid w:val="518E6A74"/>
    <w:rsid w:val="519215D2"/>
    <w:rsid w:val="51D339B1"/>
    <w:rsid w:val="51DF58E9"/>
    <w:rsid w:val="51E142A4"/>
    <w:rsid w:val="51E65648"/>
    <w:rsid w:val="51E80ADF"/>
    <w:rsid w:val="51EA23BD"/>
    <w:rsid w:val="51F13C7B"/>
    <w:rsid w:val="51F1756B"/>
    <w:rsid w:val="520D2A6C"/>
    <w:rsid w:val="5222557F"/>
    <w:rsid w:val="52422DC2"/>
    <w:rsid w:val="52487A0A"/>
    <w:rsid w:val="525A37C7"/>
    <w:rsid w:val="528B6487"/>
    <w:rsid w:val="52EC2A70"/>
    <w:rsid w:val="530969C4"/>
    <w:rsid w:val="53145B74"/>
    <w:rsid w:val="5324096C"/>
    <w:rsid w:val="53386524"/>
    <w:rsid w:val="534D1064"/>
    <w:rsid w:val="53581ECC"/>
    <w:rsid w:val="53676867"/>
    <w:rsid w:val="536A50A8"/>
    <w:rsid w:val="53751834"/>
    <w:rsid w:val="53FF44BE"/>
    <w:rsid w:val="540A0A57"/>
    <w:rsid w:val="5412474B"/>
    <w:rsid w:val="54250D1F"/>
    <w:rsid w:val="54795DF0"/>
    <w:rsid w:val="54A05BEA"/>
    <w:rsid w:val="54A74747"/>
    <w:rsid w:val="54BE6489"/>
    <w:rsid w:val="550A1F52"/>
    <w:rsid w:val="550B4BFF"/>
    <w:rsid w:val="555E1BD1"/>
    <w:rsid w:val="5561279B"/>
    <w:rsid w:val="556D7E1E"/>
    <w:rsid w:val="559916EC"/>
    <w:rsid w:val="55DD46B1"/>
    <w:rsid w:val="55EF1C64"/>
    <w:rsid w:val="55F643A6"/>
    <w:rsid w:val="562631B4"/>
    <w:rsid w:val="56547C67"/>
    <w:rsid w:val="56563165"/>
    <w:rsid w:val="567C1ACA"/>
    <w:rsid w:val="56BF65F2"/>
    <w:rsid w:val="56C50250"/>
    <w:rsid w:val="56C5492D"/>
    <w:rsid w:val="56E74407"/>
    <w:rsid w:val="56E76523"/>
    <w:rsid w:val="56F320FC"/>
    <w:rsid w:val="570B0202"/>
    <w:rsid w:val="57EE6B7D"/>
    <w:rsid w:val="57F53483"/>
    <w:rsid w:val="580F56CC"/>
    <w:rsid w:val="582B72A7"/>
    <w:rsid w:val="582D0D5A"/>
    <w:rsid w:val="58480878"/>
    <w:rsid w:val="584B29F7"/>
    <w:rsid w:val="58540BCC"/>
    <w:rsid w:val="58672098"/>
    <w:rsid w:val="586F71C5"/>
    <w:rsid w:val="58A27340"/>
    <w:rsid w:val="58A54787"/>
    <w:rsid w:val="58BC5211"/>
    <w:rsid w:val="58BE0505"/>
    <w:rsid w:val="58C42992"/>
    <w:rsid w:val="58EC08B8"/>
    <w:rsid w:val="596C19DF"/>
    <w:rsid w:val="5986582A"/>
    <w:rsid w:val="59884381"/>
    <w:rsid w:val="598E5F4C"/>
    <w:rsid w:val="59B464FE"/>
    <w:rsid w:val="59D37C5F"/>
    <w:rsid w:val="59DC3A5E"/>
    <w:rsid w:val="5A563FC2"/>
    <w:rsid w:val="5A7E562F"/>
    <w:rsid w:val="5A9F70F8"/>
    <w:rsid w:val="5ADC68F0"/>
    <w:rsid w:val="5AF27D1F"/>
    <w:rsid w:val="5AF77186"/>
    <w:rsid w:val="5B023FD4"/>
    <w:rsid w:val="5B064EBC"/>
    <w:rsid w:val="5B156674"/>
    <w:rsid w:val="5B351DE0"/>
    <w:rsid w:val="5B553AFC"/>
    <w:rsid w:val="5B64114C"/>
    <w:rsid w:val="5B685429"/>
    <w:rsid w:val="5B9F5876"/>
    <w:rsid w:val="5BD5792B"/>
    <w:rsid w:val="5BFF02A8"/>
    <w:rsid w:val="5C17416F"/>
    <w:rsid w:val="5C280A81"/>
    <w:rsid w:val="5C550687"/>
    <w:rsid w:val="5C6348EF"/>
    <w:rsid w:val="5C9849B7"/>
    <w:rsid w:val="5CA02F1C"/>
    <w:rsid w:val="5CAB1B55"/>
    <w:rsid w:val="5CC27B06"/>
    <w:rsid w:val="5CED6BD0"/>
    <w:rsid w:val="5D2669FB"/>
    <w:rsid w:val="5D541344"/>
    <w:rsid w:val="5D6E467C"/>
    <w:rsid w:val="5D7164B4"/>
    <w:rsid w:val="5D9811C7"/>
    <w:rsid w:val="5D996F98"/>
    <w:rsid w:val="5D9A0A2D"/>
    <w:rsid w:val="5DAE2B47"/>
    <w:rsid w:val="5E2438E1"/>
    <w:rsid w:val="5E546767"/>
    <w:rsid w:val="5E7D21ED"/>
    <w:rsid w:val="5E7F0665"/>
    <w:rsid w:val="5E8133F6"/>
    <w:rsid w:val="5EB040E7"/>
    <w:rsid w:val="5EBF3D73"/>
    <w:rsid w:val="5F376F48"/>
    <w:rsid w:val="5F5D74CE"/>
    <w:rsid w:val="5FE21F33"/>
    <w:rsid w:val="60263EDC"/>
    <w:rsid w:val="60543677"/>
    <w:rsid w:val="607E11DB"/>
    <w:rsid w:val="608128F8"/>
    <w:rsid w:val="608D202A"/>
    <w:rsid w:val="609C5F5C"/>
    <w:rsid w:val="60BF6B17"/>
    <w:rsid w:val="60E22EF8"/>
    <w:rsid w:val="61246BEF"/>
    <w:rsid w:val="617C08EA"/>
    <w:rsid w:val="61B067D3"/>
    <w:rsid w:val="61C06AF5"/>
    <w:rsid w:val="61D76A59"/>
    <w:rsid w:val="62131FE5"/>
    <w:rsid w:val="62292C19"/>
    <w:rsid w:val="62587699"/>
    <w:rsid w:val="627E063F"/>
    <w:rsid w:val="62934F49"/>
    <w:rsid w:val="62C506DC"/>
    <w:rsid w:val="62D97362"/>
    <w:rsid w:val="62E51997"/>
    <w:rsid w:val="62EA1B10"/>
    <w:rsid w:val="6316159D"/>
    <w:rsid w:val="63433366"/>
    <w:rsid w:val="6357504F"/>
    <w:rsid w:val="63A5771C"/>
    <w:rsid w:val="63AC3E64"/>
    <w:rsid w:val="63CD68A7"/>
    <w:rsid w:val="64202D00"/>
    <w:rsid w:val="642207D6"/>
    <w:rsid w:val="64393374"/>
    <w:rsid w:val="6440193E"/>
    <w:rsid w:val="64491F0A"/>
    <w:rsid w:val="64B81FCE"/>
    <w:rsid w:val="64D234BD"/>
    <w:rsid w:val="64E84D1C"/>
    <w:rsid w:val="65612803"/>
    <w:rsid w:val="656A5145"/>
    <w:rsid w:val="6577348E"/>
    <w:rsid w:val="65903F2C"/>
    <w:rsid w:val="65B257EB"/>
    <w:rsid w:val="65F820B9"/>
    <w:rsid w:val="660802FD"/>
    <w:rsid w:val="66433CD3"/>
    <w:rsid w:val="66487851"/>
    <w:rsid w:val="664E5842"/>
    <w:rsid w:val="665821B1"/>
    <w:rsid w:val="665834AB"/>
    <w:rsid w:val="665957EA"/>
    <w:rsid w:val="66630052"/>
    <w:rsid w:val="666327DC"/>
    <w:rsid w:val="6670438C"/>
    <w:rsid w:val="668E073A"/>
    <w:rsid w:val="66967AD0"/>
    <w:rsid w:val="66BC5A42"/>
    <w:rsid w:val="66C425B0"/>
    <w:rsid w:val="66CC0FE3"/>
    <w:rsid w:val="66DE7731"/>
    <w:rsid w:val="66F80EBC"/>
    <w:rsid w:val="672A125E"/>
    <w:rsid w:val="676B1F18"/>
    <w:rsid w:val="678C0CC9"/>
    <w:rsid w:val="67982CAE"/>
    <w:rsid w:val="67A62BB9"/>
    <w:rsid w:val="67B63023"/>
    <w:rsid w:val="67C024B3"/>
    <w:rsid w:val="67C50128"/>
    <w:rsid w:val="68014F2E"/>
    <w:rsid w:val="682D60E6"/>
    <w:rsid w:val="682E6DB4"/>
    <w:rsid w:val="692C5323"/>
    <w:rsid w:val="693C4B74"/>
    <w:rsid w:val="6947034F"/>
    <w:rsid w:val="6952070B"/>
    <w:rsid w:val="69794B1B"/>
    <w:rsid w:val="699F6F59"/>
    <w:rsid w:val="69C16C52"/>
    <w:rsid w:val="69C5741B"/>
    <w:rsid w:val="69DE74FC"/>
    <w:rsid w:val="69F510AA"/>
    <w:rsid w:val="6A0F629E"/>
    <w:rsid w:val="6A182643"/>
    <w:rsid w:val="6A274114"/>
    <w:rsid w:val="6A366F1C"/>
    <w:rsid w:val="6A416453"/>
    <w:rsid w:val="6A56038A"/>
    <w:rsid w:val="6A602454"/>
    <w:rsid w:val="6A680C36"/>
    <w:rsid w:val="6A8B02BA"/>
    <w:rsid w:val="6A936F09"/>
    <w:rsid w:val="6AB24D09"/>
    <w:rsid w:val="6B8432CF"/>
    <w:rsid w:val="6B8D6329"/>
    <w:rsid w:val="6B917C2A"/>
    <w:rsid w:val="6BBB0337"/>
    <w:rsid w:val="6BBB0F30"/>
    <w:rsid w:val="6BD44C8C"/>
    <w:rsid w:val="6C0A6757"/>
    <w:rsid w:val="6C597BAF"/>
    <w:rsid w:val="6C7649AF"/>
    <w:rsid w:val="6CAA5C57"/>
    <w:rsid w:val="6CAE7108"/>
    <w:rsid w:val="6D14733F"/>
    <w:rsid w:val="6D633DE4"/>
    <w:rsid w:val="6D80187C"/>
    <w:rsid w:val="6D8C36D8"/>
    <w:rsid w:val="6DBE0605"/>
    <w:rsid w:val="6DCF7FB0"/>
    <w:rsid w:val="6DD55087"/>
    <w:rsid w:val="6DE613CE"/>
    <w:rsid w:val="6DF40D2B"/>
    <w:rsid w:val="6DF91A17"/>
    <w:rsid w:val="6E0B46C7"/>
    <w:rsid w:val="6E1001DB"/>
    <w:rsid w:val="6E1C0105"/>
    <w:rsid w:val="6E2C46C7"/>
    <w:rsid w:val="6E4F404B"/>
    <w:rsid w:val="6E6051A1"/>
    <w:rsid w:val="6E630255"/>
    <w:rsid w:val="6E7163E5"/>
    <w:rsid w:val="6E752E46"/>
    <w:rsid w:val="6E7C17DD"/>
    <w:rsid w:val="6E870F16"/>
    <w:rsid w:val="6E956774"/>
    <w:rsid w:val="6E9B3773"/>
    <w:rsid w:val="6EA95998"/>
    <w:rsid w:val="6ED937E0"/>
    <w:rsid w:val="6EDC5C19"/>
    <w:rsid w:val="6EF1627A"/>
    <w:rsid w:val="6F3E32ED"/>
    <w:rsid w:val="6FB17FD0"/>
    <w:rsid w:val="6FB50957"/>
    <w:rsid w:val="6FC07012"/>
    <w:rsid w:val="6FC44B9E"/>
    <w:rsid w:val="6FC47245"/>
    <w:rsid w:val="6FC61E8F"/>
    <w:rsid w:val="6FE0321B"/>
    <w:rsid w:val="6FE66D74"/>
    <w:rsid w:val="6FE82825"/>
    <w:rsid w:val="700507FD"/>
    <w:rsid w:val="70243F08"/>
    <w:rsid w:val="702B69E4"/>
    <w:rsid w:val="70650C3D"/>
    <w:rsid w:val="708E1F8A"/>
    <w:rsid w:val="70991876"/>
    <w:rsid w:val="70992E04"/>
    <w:rsid w:val="70A94D20"/>
    <w:rsid w:val="70B43413"/>
    <w:rsid w:val="70D14F8A"/>
    <w:rsid w:val="70D560B9"/>
    <w:rsid w:val="70E15B69"/>
    <w:rsid w:val="71404CE5"/>
    <w:rsid w:val="71767154"/>
    <w:rsid w:val="71A45671"/>
    <w:rsid w:val="71BA14A6"/>
    <w:rsid w:val="71DF44C7"/>
    <w:rsid w:val="71ED45E3"/>
    <w:rsid w:val="71FD3357"/>
    <w:rsid w:val="720038C2"/>
    <w:rsid w:val="7201490D"/>
    <w:rsid w:val="72147D72"/>
    <w:rsid w:val="723F61FD"/>
    <w:rsid w:val="7269299D"/>
    <w:rsid w:val="72724F34"/>
    <w:rsid w:val="72B478AD"/>
    <w:rsid w:val="733D4FF5"/>
    <w:rsid w:val="73414404"/>
    <w:rsid w:val="73541C63"/>
    <w:rsid w:val="7363379A"/>
    <w:rsid w:val="737572B3"/>
    <w:rsid w:val="737C32DE"/>
    <w:rsid w:val="7380460B"/>
    <w:rsid w:val="73AF7EBE"/>
    <w:rsid w:val="73BE33B3"/>
    <w:rsid w:val="73D6379B"/>
    <w:rsid w:val="73E207E2"/>
    <w:rsid w:val="74524CB4"/>
    <w:rsid w:val="745554C5"/>
    <w:rsid w:val="74790366"/>
    <w:rsid w:val="74936548"/>
    <w:rsid w:val="74A3294B"/>
    <w:rsid w:val="74A82924"/>
    <w:rsid w:val="74C75987"/>
    <w:rsid w:val="74E82CC1"/>
    <w:rsid w:val="74E87F68"/>
    <w:rsid w:val="74F754C8"/>
    <w:rsid w:val="75455BF6"/>
    <w:rsid w:val="75697CA9"/>
    <w:rsid w:val="757155CF"/>
    <w:rsid w:val="75E96EFD"/>
    <w:rsid w:val="76112A98"/>
    <w:rsid w:val="7615114E"/>
    <w:rsid w:val="76315D82"/>
    <w:rsid w:val="767F6278"/>
    <w:rsid w:val="76D15C6F"/>
    <w:rsid w:val="76E54FCC"/>
    <w:rsid w:val="7700511C"/>
    <w:rsid w:val="77347603"/>
    <w:rsid w:val="77904DB5"/>
    <w:rsid w:val="77951B6E"/>
    <w:rsid w:val="779A462B"/>
    <w:rsid w:val="77AC59B6"/>
    <w:rsid w:val="77AF6354"/>
    <w:rsid w:val="77C114BC"/>
    <w:rsid w:val="77C36889"/>
    <w:rsid w:val="77C96214"/>
    <w:rsid w:val="78023299"/>
    <w:rsid w:val="780C1A5D"/>
    <w:rsid w:val="78137815"/>
    <w:rsid w:val="7816441B"/>
    <w:rsid w:val="782B7FB7"/>
    <w:rsid w:val="784D5D32"/>
    <w:rsid w:val="78694A98"/>
    <w:rsid w:val="788A2F97"/>
    <w:rsid w:val="78E7394C"/>
    <w:rsid w:val="79125BD9"/>
    <w:rsid w:val="79335088"/>
    <w:rsid w:val="79965BE5"/>
    <w:rsid w:val="79CC4744"/>
    <w:rsid w:val="79DB7F94"/>
    <w:rsid w:val="79E3670E"/>
    <w:rsid w:val="79EA1005"/>
    <w:rsid w:val="79F80B39"/>
    <w:rsid w:val="79F81B44"/>
    <w:rsid w:val="7A7D1776"/>
    <w:rsid w:val="7A831C9C"/>
    <w:rsid w:val="7AB07A78"/>
    <w:rsid w:val="7AB7527D"/>
    <w:rsid w:val="7ACF6E8B"/>
    <w:rsid w:val="7B0F057F"/>
    <w:rsid w:val="7B1227F8"/>
    <w:rsid w:val="7B142D78"/>
    <w:rsid w:val="7B206816"/>
    <w:rsid w:val="7B233344"/>
    <w:rsid w:val="7B302EE8"/>
    <w:rsid w:val="7B436BF0"/>
    <w:rsid w:val="7B59351D"/>
    <w:rsid w:val="7B726F38"/>
    <w:rsid w:val="7B7B0C1A"/>
    <w:rsid w:val="7B924C0F"/>
    <w:rsid w:val="7BAF1A8A"/>
    <w:rsid w:val="7BD15865"/>
    <w:rsid w:val="7BED562A"/>
    <w:rsid w:val="7C0B2A10"/>
    <w:rsid w:val="7C297C91"/>
    <w:rsid w:val="7C3E59B8"/>
    <w:rsid w:val="7CAE52FE"/>
    <w:rsid w:val="7CB77E79"/>
    <w:rsid w:val="7CB86AC5"/>
    <w:rsid w:val="7CD017B0"/>
    <w:rsid w:val="7CDC0AA6"/>
    <w:rsid w:val="7CF97911"/>
    <w:rsid w:val="7CFC31D3"/>
    <w:rsid w:val="7D1B4C5E"/>
    <w:rsid w:val="7D5B0C46"/>
    <w:rsid w:val="7D672CCD"/>
    <w:rsid w:val="7D9F3AB2"/>
    <w:rsid w:val="7DB25BE4"/>
    <w:rsid w:val="7DCD5EF4"/>
    <w:rsid w:val="7DDD5158"/>
    <w:rsid w:val="7E520127"/>
    <w:rsid w:val="7E5673F5"/>
    <w:rsid w:val="7E655B4E"/>
    <w:rsid w:val="7E7F58EC"/>
    <w:rsid w:val="7E9E3B69"/>
    <w:rsid w:val="7EB52CC9"/>
    <w:rsid w:val="7EC00973"/>
    <w:rsid w:val="7ED217DE"/>
    <w:rsid w:val="7F393F07"/>
    <w:rsid w:val="7F7546F8"/>
    <w:rsid w:val="7F8C1ABC"/>
    <w:rsid w:val="7F8E2ADC"/>
    <w:rsid w:val="7FC5569F"/>
    <w:rsid w:val="7FD9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numPr>
        <w:ilvl w:val="1"/>
        <w:numId w:val="1"/>
      </w:numPr>
      <w:spacing w:before="100" w:beforeLines="100" w:after="100" w:afterLines="100" w:line="240" w:lineRule="auto"/>
      <w:ind w:firstLineChars="0"/>
      <w:jc w:val="left"/>
      <w:outlineLvl w:val="1"/>
    </w:pPr>
    <w:rPr>
      <w:rFonts w:eastAsia="黑体"/>
      <w:b/>
      <w:bCs/>
      <w:sz w:val="28"/>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600" w:lineRule="exact"/>
    </w:pPr>
    <w:rPr>
      <w:rFonts w:cs="Times New Roman"/>
      <w:szCs w:val="24"/>
    </w:rPr>
  </w:style>
  <w:style w:type="paragraph" w:styleId="3">
    <w:name w:val="Title"/>
    <w:basedOn w:val="1"/>
    <w:next w:val="1"/>
    <w:qFormat/>
    <w:uiPriority w:val="10"/>
    <w:pPr>
      <w:spacing w:before="240" w:after="240" w:line="600" w:lineRule="exact"/>
      <w:jc w:val="center"/>
      <w:outlineLvl w:val="0"/>
    </w:pPr>
    <w:rPr>
      <w:rFonts w:ascii="Calibri Light" w:hAnsi="Calibri Light" w:eastAsia="黑体" w:cs="Times New Roman"/>
      <w:b/>
      <w:bCs/>
      <w:sz w:val="44"/>
      <w:szCs w:val="32"/>
    </w:rPr>
  </w:style>
  <w:style w:type="paragraph" w:styleId="8">
    <w:name w:val="Body Text Indent"/>
    <w:basedOn w:val="1"/>
    <w:qFormat/>
    <w:uiPriority w:val="0"/>
    <w:pPr>
      <w:ind w:firstLine="3092" w:firstLineChars="700"/>
    </w:pPr>
    <w:rPr>
      <w:rFonts w:eastAsia="仿宋_GB2312"/>
      <w:b/>
      <w:bCs/>
      <w:sz w:val="44"/>
      <w:szCs w:val="4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4"/>
    <w:basedOn w:val="1"/>
    <w:next w:val="1"/>
    <w:qFormat/>
    <w:uiPriority w:val="0"/>
    <w:pPr>
      <w:ind w:left="1260" w:leftChars="600"/>
    </w:pPr>
  </w:style>
  <w:style w:type="paragraph" w:styleId="12">
    <w:name w:val="Body Text First Indent 2"/>
    <w:basedOn w:val="8"/>
    <w:unhideWhenUsed/>
    <w:qFormat/>
    <w:uiPriority w:val="99"/>
    <w:pPr>
      <w:spacing w:line="360" w:lineRule="auto"/>
    </w:pPr>
    <w:rPr>
      <w:rFonts w:eastAsia="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WPSOffice手动目录 2"/>
    <w:qFormat/>
    <w:uiPriority w:val="0"/>
    <w:pPr>
      <w:ind w:leftChars="200"/>
    </w:pPr>
    <w:rPr>
      <w:rFonts w:asciiTheme="minorHAnsi" w:hAnsiTheme="minorHAnsi" w:eastAsiaTheme="minorEastAsia" w:cstheme="minorBidi"/>
      <w:sz w:val="20"/>
      <w:szCs w:val="20"/>
    </w:rPr>
  </w:style>
  <w:style w:type="paragraph" w:customStyle="1" w:styleId="19">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12c440-ea32-4fbe-9fd2-970ffe14ee7b}"/>
        <w:style w:val=""/>
        <w:category>
          <w:name w:val="常规"/>
          <w:gallery w:val="placeholder"/>
        </w:category>
        <w:types>
          <w:type w:val="bbPlcHdr"/>
        </w:types>
        <w:behaviors>
          <w:behavior w:val="content"/>
        </w:behaviors>
        <w:description w:val=""/>
        <w:guid w:val="{ae12c440-ea32-4fbe-9fd2-970ffe14ee7b}"/>
      </w:docPartPr>
      <w:docPartBody>
        <w:p>
          <w:r>
            <w:rPr>
              <w:color w:val="808080"/>
            </w:rPr>
            <w:t>单击此处输入文字。</w:t>
          </w:r>
        </w:p>
      </w:docPartBody>
    </w:docPart>
    <w:docPart>
      <w:docPartPr>
        <w:name w:val="{9f141782-56bb-42ab-8a6c-02a3a19aaab3}"/>
        <w:style w:val=""/>
        <w:category>
          <w:name w:val="常规"/>
          <w:gallery w:val="placeholder"/>
        </w:category>
        <w:types>
          <w:type w:val="bbPlcHdr"/>
        </w:types>
        <w:behaviors>
          <w:behavior w:val="content"/>
        </w:behaviors>
        <w:description w:val=""/>
        <w:guid w:val="{9f141782-56bb-42ab-8a6c-02a3a19aaab3}"/>
      </w:docPartPr>
      <w:docPartBody>
        <w:p>
          <w:r>
            <w:rPr>
              <w:color w:val="808080"/>
            </w:rPr>
            <w:t>单击此处输入文字。</w:t>
          </w:r>
        </w:p>
      </w:docPartBody>
    </w:docPart>
    <w:docPart>
      <w:docPartPr>
        <w:name w:val="{1dfd5094-c928-4c41-aed6-3ced57412713}"/>
        <w:style w:val=""/>
        <w:category>
          <w:name w:val="常规"/>
          <w:gallery w:val="placeholder"/>
        </w:category>
        <w:types>
          <w:type w:val="bbPlcHdr"/>
        </w:types>
        <w:behaviors>
          <w:behavior w:val="content"/>
        </w:behaviors>
        <w:description w:val=""/>
        <w:guid w:val="{1dfd5094-c928-4c41-aed6-3ced57412713}"/>
      </w:docPartPr>
      <w:docPartBody>
        <w:p>
          <w:r>
            <w:rPr>
              <w:color w:val="808080"/>
            </w:rPr>
            <w:t>单击此处输入文字。</w:t>
          </w:r>
        </w:p>
      </w:docPartBody>
    </w:docPart>
    <w:docPart>
      <w:docPartPr>
        <w:name w:val="{60221a60-b759-495d-aad8-e8a5f3552702}"/>
        <w:style w:val=""/>
        <w:category>
          <w:name w:val="常规"/>
          <w:gallery w:val="placeholder"/>
        </w:category>
        <w:types>
          <w:type w:val="bbPlcHdr"/>
        </w:types>
        <w:behaviors>
          <w:behavior w:val="content"/>
        </w:behaviors>
        <w:description w:val=""/>
        <w:guid w:val="{60221a60-b759-495d-aad8-e8a5f3552702}"/>
      </w:docPartPr>
      <w:docPartBody>
        <w:p>
          <w:r>
            <w:rPr>
              <w:color w:val="808080"/>
            </w:rPr>
            <w:t>单击此处输入文字。</w:t>
          </w:r>
        </w:p>
      </w:docPartBody>
    </w:docPart>
    <w:docPart>
      <w:docPartPr>
        <w:name w:val="{b406f975-7823-4f49-aa43-da87f6f83073}"/>
        <w:style w:val=""/>
        <w:category>
          <w:name w:val="常规"/>
          <w:gallery w:val="placeholder"/>
        </w:category>
        <w:types>
          <w:type w:val="bbPlcHdr"/>
        </w:types>
        <w:behaviors>
          <w:behavior w:val="content"/>
        </w:behaviors>
        <w:description w:val=""/>
        <w:guid w:val="{b406f975-7823-4f49-aa43-da87f6f83073}"/>
      </w:docPartPr>
      <w:docPartBody>
        <w:p>
          <w:r>
            <w:rPr>
              <w:color w:val="808080"/>
            </w:rPr>
            <w:t>单击此处输入文字。</w:t>
          </w:r>
        </w:p>
      </w:docPartBody>
    </w:docPart>
    <w:docPart>
      <w:docPartPr>
        <w:name w:val="{4e3a35fd-7899-4cd0-a795-56ca4ae917f4}"/>
        <w:style w:val=""/>
        <w:category>
          <w:name w:val="常规"/>
          <w:gallery w:val="placeholder"/>
        </w:category>
        <w:types>
          <w:type w:val="bbPlcHdr"/>
        </w:types>
        <w:behaviors>
          <w:behavior w:val="content"/>
        </w:behaviors>
        <w:description w:val=""/>
        <w:guid w:val="{4e3a35fd-7899-4cd0-a795-56ca4ae917f4}"/>
      </w:docPartPr>
      <w:docPartBody>
        <w:p>
          <w:r>
            <w:rPr>
              <w:color w:val="808080"/>
            </w:rPr>
            <w:t>单击此处输入文字。</w:t>
          </w:r>
        </w:p>
      </w:docPartBody>
    </w:docPart>
    <w:docPart>
      <w:docPartPr>
        <w:name w:val="{12e3c34d-369b-4a32-8973-f05ec71ff5a7}"/>
        <w:style w:val=""/>
        <w:category>
          <w:name w:val="常规"/>
          <w:gallery w:val="placeholder"/>
        </w:category>
        <w:types>
          <w:type w:val="bbPlcHdr"/>
        </w:types>
        <w:behaviors>
          <w:behavior w:val="content"/>
        </w:behaviors>
        <w:description w:val=""/>
        <w:guid w:val="{12e3c34d-369b-4a32-8973-f05ec71ff5a7}"/>
      </w:docPartPr>
      <w:docPartBody>
        <w:p>
          <w:r>
            <w:rPr>
              <w:color w:val="808080"/>
            </w:rPr>
            <w:t>单击此处输入文字。</w:t>
          </w:r>
        </w:p>
      </w:docPartBody>
    </w:docPart>
    <w:docPart>
      <w:docPartPr>
        <w:name w:val="{d6cc216a-ce4d-4b41-9760-ce4d51bb45e1}"/>
        <w:style w:val=""/>
        <w:category>
          <w:name w:val="常规"/>
          <w:gallery w:val="placeholder"/>
        </w:category>
        <w:types>
          <w:type w:val="bbPlcHdr"/>
        </w:types>
        <w:behaviors>
          <w:behavior w:val="content"/>
        </w:behaviors>
        <w:description w:val=""/>
        <w:guid w:val="{d6cc216a-ce4d-4b41-9760-ce4d51bb45e1}"/>
      </w:docPartPr>
      <w:docPartBody>
        <w:p>
          <w:r>
            <w:rPr>
              <w:color w:val="808080"/>
            </w:rPr>
            <w:t>单击此处输入文字。</w:t>
          </w:r>
        </w:p>
      </w:docPartBody>
    </w:docPart>
    <w:docPart>
      <w:docPartPr>
        <w:name w:val="{c611863f-5b31-436c-bd41-f2507d7a22cf}"/>
        <w:style w:val=""/>
        <w:category>
          <w:name w:val="常规"/>
          <w:gallery w:val="placeholder"/>
        </w:category>
        <w:types>
          <w:type w:val="bbPlcHdr"/>
        </w:types>
        <w:behaviors>
          <w:behavior w:val="content"/>
        </w:behaviors>
        <w:description w:val=""/>
        <w:guid w:val="{c611863f-5b31-436c-bd41-f2507d7a22cf}"/>
      </w:docPartPr>
      <w:docPartBody>
        <w:p>
          <w:r>
            <w:rPr>
              <w:color w:val="808080"/>
            </w:rPr>
            <w:t>单击此处输入文字。</w:t>
          </w:r>
        </w:p>
      </w:docPartBody>
    </w:docPart>
    <w:docPart>
      <w:docPartPr>
        <w:name w:val="{1fb1479e-c723-43c2-a614-94d99a553147}"/>
        <w:style w:val=""/>
        <w:category>
          <w:name w:val="常规"/>
          <w:gallery w:val="placeholder"/>
        </w:category>
        <w:types>
          <w:type w:val="bbPlcHdr"/>
        </w:types>
        <w:behaviors>
          <w:behavior w:val="content"/>
        </w:behaviors>
        <w:description w:val=""/>
        <w:guid w:val="{1fb1479e-c723-43c2-a614-94d99a553147}"/>
      </w:docPartPr>
      <w:docPartBody>
        <w:p>
          <w:r>
            <w:rPr>
              <w:color w:val="808080"/>
            </w:rPr>
            <w:t>单击此处输入文字。</w:t>
          </w:r>
        </w:p>
      </w:docPartBody>
    </w:docPart>
    <w:docPart>
      <w:docPartPr>
        <w:name w:val="{aeb5c258-c717-4188-93ea-530df1f57696}"/>
        <w:style w:val=""/>
        <w:category>
          <w:name w:val="常规"/>
          <w:gallery w:val="placeholder"/>
        </w:category>
        <w:types>
          <w:type w:val="bbPlcHdr"/>
        </w:types>
        <w:behaviors>
          <w:behavior w:val="content"/>
        </w:behaviors>
        <w:description w:val=""/>
        <w:guid w:val="{aeb5c258-c717-4188-93ea-530df1f57696}"/>
      </w:docPartPr>
      <w:docPartBody>
        <w:p>
          <w:r>
            <w:rPr>
              <w:color w:val="808080"/>
            </w:rPr>
            <w:t>单击此处输入文字。</w:t>
          </w:r>
        </w:p>
      </w:docPartBody>
    </w:docPart>
    <w:docPart>
      <w:docPartPr>
        <w:name w:val="{e296db99-a40b-42ae-9dab-c3438fff3a05}"/>
        <w:style w:val=""/>
        <w:category>
          <w:name w:val="常规"/>
          <w:gallery w:val="placeholder"/>
        </w:category>
        <w:types>
          <w:type w:val="bbPlcHdr"/>
        </w:types>
        <w:behaviors>
          <w:behavior w:val="content"/>
        </w:behaviors>
        <w:description w:val=""/>
        <w:guid w:val="{e296db99-a40b-42ae-9dab-c3438fff3a05}"/>
      </w:docPartPr>
      <w:docPartBody>
        <w:p>
          <w:r>
            <w:rPr>
              <w:color w:val="808080"/>
            </w:rPr>
            <w:t>单击此处输入文字。</w:t>
          </w:r>
        </w:p>
      </w:docPartBody>
    </w:docPart>
    <w:docPart>
      <w:docPartPr>
        <w:name w:val="{ac1d7ed8-ee34-4c60-a528-9caca059b918}"/>
        <w:style w:val=""/>
        <w:category>
          <w:name w:val="常规"/>
          <w:gallery w:val="placeholder"/>
        </w:category>
        <w:types>
          <w:type w:val="bbPlcHdr"/>
        </w:types>
        <w:behaviors>
          <w:behavior w:val="content"/>
        </w:behaviors>
        <w:description w:val=""/>
        <w:guid w:val="{ac1d7ed8-ee34-4c60-a528-9caca059b918}"/>
      </w:docPartPr>
      <w:docPartBody>
        <w:p>
          <w:r>
            <w:rPr>
              <w:color w:val="808080"/>
            </w:rPr>
            <w:t>单击此处输入文字。</w:t>
          </w:r>
        </w:p>
      </w:docPartBody>
    </w:docPart>
    <w:docPart>
      <w:docPartPr>
        <w:name w:val="{6196d8a4-1c68-4f7a-819c-d449e0667be1}"/>
        <w:style w:val=""/>
        <w:category>
          <w:name w:val="常规"/>
          <w:gallery w:val="placeholder"/>
        </w:category>
        <w:types>
          <w:type w:val="bbPlcHdr"/>
        </w:types>
        <w:behaviors>
          <w:behavior w:val="content"/>
        </w:behaviors>
        <w:description w:val=""/>
        <w:guid w:val="{6196d8a4-1c68-4f7a-819c-d449e0667be1}"/>
      </w:docPartPr>
      <w:docPartBody>
        <w:p>
          <w:r>
            <w:rPr>
              <w:color w:val="808080"/>
            </w:rPr>
            <w:t>单击此处输入文字。</w:t>
          </w:r>
        </w:p>
      </w:docPartBody>
    </w:docPart>
    <w:docPart>
      <w:docPartPr>
        <w:name w:val="{42f8b737-81bb-470d-85cd-ade0aa7fc8c9}"/>
        <w:style w:val=""/>
        <w:category>
          <w:name w:val="常规"/>
          <w:gallery w:val="placeholder"/>
        </w:category>
        <w:types>
          <w:type w:val="bbPlcHdr"/>
        </w:types>
        <w:behaviors>
          <w:behavior w:val="content"/>
        </w:behaviors>
        <w:description w:val=""/>
        <w:guid w:val="{42f8b737-81bb-470d-85cd-ade0aa7fc8c9}"/>
      </w:docPartPr>
      <w:docPartBody>
        <w:p>
          <w:r>
            <w:rPr>
              <w:color w:val="808080"/>
            </w:rPr>
            <w:t>单击此处输入文字。</w:t>
          </w:r>
        </w:p>
      </w:docPartBody>
    </w:docPart>
    <w:docPart>
      <w:docPartPr>
        <w:name w:val="{0f34c781-def0-4d7d-a2ce-10dff8bd037b}"/>
        <w:style w:val=""/>
        <w:category>
          <w:name w:val="常规"/>
          <w:gallery w:val="placeholder"/>
        </w:category>
        <w:types>
          <w:type w:val="bbPlcHdr"/>
        </w:types>
        <w:behaviors>
          <w:behavior w:val="content"/>
        </w:behaviors>
        <w:description w:val=""/>
        <w:guid w:val="{0f34c781-def0-4d7d-a2ce-10dff8bd037b}"/>
      </w:docPartPr>
      <w:docPartBody>
        <w:p>
          <w:r>
            <w:rPr>
              <w:color w:val="808080"/>
            </w:rPr>
            <w:t>单击此处输入文字。</w:t>
          </w:r>
        </w:p>
      </w:docPartBody>
    </w:docPart>
    <w:docPart>
      <w:docPartPr>
        <w:name w:val="{05458a6c-3e41-40bf-a0f4-9623e48e6463}"/>
        <w:style w:val=""/>
        <w:category>
          <w:name w:val="常规"/>
          <w:gallery w:val="placeholder"/>
        </w:category>
        <w:types>
          <w:type w:val="bbPlcHdr"/>
        </w:types>
        <w:behaviors>
          <w:behavior w:val="content"/>
        </w:behaviors>
        <w:description w:val=""/>
        <w:guid w:val="{05458a6c-3e41-40bf-a0f4-9623e48e6463}"/>
      </w:docPartPr>
      <w:docPartBody>
        <w:p>
          <w:r>
            <w:rPr>
              <w:color w:val="808080"/>
            </w:rPr>
            <w:t>单击此处输入文字。</w:t>
          </w:r>
        </w:p>
      </w:docPartBody>
    </w:docPart>
    <w:docPart>
      <w:docPartPr>
        <w:name w:val="{6a89a505-e485-49c2-98f2-ad71a0c4724e}"/>
        <w:style w:val=""/>
        <w:category>
          <w:name w:val="常规"/>
          <w:gallery w:val="placeholder"/>
        </w:category>
        <w:types>
          <w:type w:val="bbPlcHdr"/>
        </w:types>
        <w:behaviors>
          <w:behavior w:val="content"/>
        </w:behaviors>
        <w:description w:val=""/>
        <w:guid w:val="{6a89a505-e485-49c2-98f2-ad71a0c4724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6217</Words>
  <Characters>6355</Characters>
  <Lines>0</Lines>
  <Paragraphs>0</Paragraphs>
  <TotalTime>73</TotalTime>
  <ScaleCrop>false</ScaleCrop>
  <LinksUpToDate>false</LinksUpToDate>
  <CharactersWithSpaces>6360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2022-05-19T01:29:00Z</dcterms:created>
  <dc:creator>094</dc:creator>
  <cp:lastModifiedBy>094</cp:lastModifiedBy>
  <cp:lastPrinted>2023-01-31T09:07:00Z</cp:lastPrinted>
  <dcterms:modified xsi:type="dcterms:W3CDTF">2023-02-23T04:30:12Z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3346016F5A9849A79CC02770229169E1</vt:lpwstr>
  </property>
</Properties>
</file>